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9C930" w14:textId="512F25E2" w:rsidR="00EA7452" w:rsidRPr="00D55405" w:rsidRDefault="002D72E1" w:rsidP="00C86AD3">
      <w:pPr>
        <w:pStyle w:val="Heading1"/>
      </w:pPr>
      <w:r w:rsidRPr="002B7A06">
        <w:rPr>
          <w:b w:val="0"/>
          <w:noProof/>
        </w:rPr>
        <w:drawing>
          <wp:inline distT="0" distB="0" distL="0" distR="0" wp14:anchorId="64E85C42" wp14:editId="41282FA9">
            <wp:extent cx="5943600" cy="664210"/>
            <wp:effectExtent l="0" t="0" r="0" b="2540"/>
            <wp:docPr id="2" name="Picture 2" descr="Texas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HS logo BW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664210"/>
                    </a:xfrm>
                    <a:prstGeom prst="rect">
                      <a:avLst/>
                    </a:prstGeom>
                  </pic:spPr>
                </pic:pic>
              </a:graphicData>
            </a:graphic>
          </wp:inline>
        </w:drawing>
      </w:r>
      <w:r w:rsidR="00C6652F" w:rsidRPr="00D55405">
        <w:t>Local Provider Network Development Plan</w:t>
      </w:r>
      <w:r w:rsidR="00D778F1">
        <w:t>: Fiscal Year 2025</w:t>
      </w:r>
    </w:p>
    <w:p w14:paraId="500A04C9" w14:textId="6793900E" w:rsidR="002E77BD" w:rsidRDefault="00D55405" w:rsidP="002E77BD">
      <w:pPr>
        <w:pStyle w:val="BodyTextafterheading"/>
      </w:pPr>
      <w:r>
        <w:t xml:space="preserve">The </w:t>
      </w:r>
      <w:r w:rsidR="00E448C0">
        <w:t xml:space="preserve">Texas Health </w:t>
      </w:r>
      <w:r w:rsidR="00DC3CC4">
        <w:t xml:space="preserve">and Human Services (HHSC) requires </w:t>
      </w:r>
      <w:r w:rsidR="0091433D">
        <w:t xml:space="preserve">all </w:t>
      </w:r>
      <w:r w:rsidR="007C06CC">
        <w:t>l</w:t>
      </w:r>
      <w:r w:rsidR="0091433D">
        <w:t xml:space="preserve">ocal </w:t>
      </w:r>
      <w:r w:rsidR="007C06CC">
        <w:t>m</w:t>
      </w:r>
      <w:r w:rsidR="0091433D">
        <w:t xml:space="preserve">ental </w:t>
      </w:r>
      <w:r w:rsidR="007C06CC">
        <w:t>h</w:t>
      </w:r>
      <w:r w:rsidR="0091433D">
        <w:t xml:space="preserve">ealth </w:t>
      </w:r>
      <w:r w:rsidR="007C06CC">
        <w:t>a</w:t>
      </w:r>
      <w:r w:rsidR="0091433D">
        <w:t xml:space="preserve">uthorities (LMHA) and </w:t>
      </w:r>
      <w:r w:rsidR="007C06CC">
        <w:t>l</w:t>
      </w:r>
      <w:r w:rsidR="0091433D">
        <w:t xml:space="preserve">ocal </w:t>
      </w:r>
      <w:r w:rsidR="007C06CC">
        <w:t>b</w:t>
      </w:r>
      <w:r w:rsidR="0091433D">
        <w:t xml:space="preserve">ehavioral </w:t>
      </w:r>
      <w:r w:rsidR="007C06CC">
        <w:t>h</w:t>
      </w:r>
      <w:r w:rsidR="0091433D">
        <w:t xml:space="preserve">ealth </w:t>
      </w:r>
      <w:r w:rsidR="007C06CC">
        <w:t>a</w:t>
      </w:r>
      <w:r w:rsidR="0091433D">
        <w:t>uthorities (LBHA) c</w:t>
      </w:r>
      <w:r w:rsidR="002E77BD">
        <w:t xml:space="preserve">omplete </w:t>
      </w:r>
      <w:r w:rsidR="00A63977">
        <w:t xml:space="preserve">the Local Provider Network Development </w:t>
      </w:r>
      <w:r w:rsidR="006853DE">
        <w:t xml:space="preserve">(LPND) plan </w:t>
      </w:r>
      <w:r w:rsidR="002E77BD">
        <w:t>and submit in Word format (not PDF) to</w:t>
      </w:r>
      <w:r w:rsidR="0087070E">
        <w:t xml:space="preserve"> </w:t>
      </w:r>
      <w:hyperlink r:id="rId12" w:history="1">
        <w:r w:rsidR="007C06CC" w:rsidRPr="00E66BB6">
          <w:rPr>
            <w:rStyle w:val="Hyperlink"/>
            <w:rFonts w:cstheme="minorBidi"/>
          </w:rPr>
          <w:t>Performance.Contracts@hhs.texas.gov</w:t>
        </w:r>
      </w:hyperlink>
      <w:r w:rsidR="007C06CC">
        <w:t xml:space="preserve"> </w:t>
      </w:r>
      <w:r w:rsidR="002E77BD" w:rsidRPr="003559E8">
        <w:rPr>
          <w:b/>
          <w:bCs/>
        </w:rPr>
        <w:t>no later than December 31, 2024</w:t>
      </w:r>
      <w:r w:rsidR="002E77BD">
        <w:t xml:space="preserve">. </w:t>
      </w:r>
    </w:p>
    <w:p w14:paraId="486BA716" w14:textId="72FAE77F" w:rsidR="002E77BD" w:rsidRDefault="002E77BD" w:rsidP="002E77BD">
      <w:pPr>
        <w:pStyle w:val="BodyTextafterheading"/>
      </w:pPr>
      <w:r>
        <w:t>LMHAs</w:t>
      </w:r>
      <w:r w:rsidR="00972050">
        <w:t xml:space="preserve"> </w:t>
      </w:r>
      <w:r>
        <w:t>and LBHAs</w:t>
      </w:r>
      <w:r w:rsidR="00972050">
        <w:t xml:space="preserve"> </w:t>
      </w:r>
      <w:r w:rsidR="003559E8">
        <w:t>are required to</w:t>
      </w:r>
      <w:r>
        <w:t xml:space="preserve"> complete Part I, which includes providing baseline data about services</w:t>
      </w:r>
      <w:r w:rsidR="00646FB0">
        <w:t xml:space="preserve">, </w:t>
      </w:r>
      <w:r w:rsidR="00D97B9D">
        <w:t>contracts,</w:t>
      </w:r>
      <w:r>
        <w:t xml:space="preserve"> and documentation of the LMHA’s or</w:t>
      </w:r>
      <w:r w:rsidR="00972050">
        <w:t xml:space="preserve"> </w:t>
      </w:r>
      <w:r>
        <w:t>LBHA’s assessment of provider availability</w:t>
      </w:r>
      <w:r w:rsidR="003404E9">
        <w:t>;</w:t>
      </w:r>
      <w:r>
        <w:t xml:space="preserve"> and Part III, which outlines Planning and Network Advisory Committee (PNAC) involvement and public comment. </w:t>
      </w:r>
    </w:p>
    <w:p w14:paraId="2323B4EA" w14:textId="61DE3303" w:rsidR="00357C8B" w:rsidRDefault="00935B96" w:rsidP="002E77BD">
      <w:pPr>
        <w:pStyle w:val="BodyTextafterheading"/>
      </w:pPr>
      <w:r>
        <w:t xml:space="preserve">HHSC </w:t>
      </w:r>
      <w:r w:rsidR="0024423B">
        <w:t xml:space="preserve">only </w:t>
      </w:r>
      <w:r>
        <w:t xml:space="preserve">requires </w:t>
      </w:r>
      <w:r w:rsidR="002E77BD">
        <w:t>LMHAs and</w:t>
      </w:r>
      <w:r w:rsidR="00357C8B">
        <w:t xml:space="preserve"> </w:t>
      </w:r>
      <w:r w:rsidR="002E77BD">
        <w:t>LBHAs to complete Part II</w:t>
      </w:r>
      <w:r w:rsidR="0024423B">
        <w:t xml:space="preserve"> if there are new providers interested to </w:t>
      </w:r>
      <w:r w:rsidR="00150FA5">
        <w:t>include procurement plans</w:t>
      </w:r>
      <w:r w:rsidR="0024423B">
        <w:t>.</w:t>
      </w:r>
    </w:p>
    <w:p w14:paraId="4AB2EF24" w14:textId="77777777" w:rsidR="00614323" w:rsidRPr="00106034" w:rsidRDefault="00614323" w:rsidP="00614323">
      <w:pPr>
        <w:pStyle w:val="BodyTextafterheading"/>
        <w:rPr>
          <w:rStyle w:val="Strong"/>
        </w:rPr>
      </w:pPr>
      <w:r w:rsidRPr="00106034">
        <w:rPr>
          <w:rStyle w:val="Strong"/>
        </w:rPr>
        <w:t xml:space="preserve">NOTES: </w:t>
      </w:r>
    </w:p>
    <w:p w14:paraId="14225493" w14:textId="27D4AA85" w:rsidR="00D92CF7" w:rsidRDefault="00D92CF7" w:rsidP="000D2FC9">
      <w:pPr>
        <w:pStyle w:val="BodyText"/>
        <w:numPr>
          <w:ilvl w:val="0"/>
          <w:numId w:val="14"/>
        </w:numPr>
      </w:pPr>
      <w:r>
        <w:t>This process applies only to services funded through the Mental Health Performance Contract Notebook (</w:t>
      </w:r>
      <w:r w:rsidR="00B95E56">
        <w:t>MH/</w:t>
      </w:r>
      <w:r>
        <w:t xml:space="preserve">PCN); it does not cover services funded through Medicaid Managed Care. Throughout the document, </w:t>
      </w:r>
      <w:r w:rsidR="00D778F1">
        <w:t xml:space="preserve">only </w:t>
      </w:r>
      <w:r>
        <w:t>r</w:t>
      </w:r>
      <w:r w:rsidR="00A65E36">
        <w:t>eport</w:t>
      </w:r>
      <w:r>
        <w:t xml:space="preserve"> data for the non-Medicaid population.</w:t>
      </w:r>
    </w:p>
    <w:p w14:paraId="08C5CD84" w14:textId="35384270" w:rsidR="00346B9E" w:rsidRDefault="00346B9E" w:rsidP="000D2FC9">
      <w:pPr>
        <w:pStyle w:val="BodyText"/>
        <w:numPr>
          <w:ilvl w:val="0"/>
          <w:numId w:val="14"/>
        </w:numPr>
      </w:pPr>
      <w:r w:rsidRPr="00346B9E">
        <w:t>The requirements for network development pertain only to provider organizations and complete levels of care or specialty services. Local needs and priorities govern routine or discrete outpatient services and services provided by individual practitioners, and these services are not part of the assessment of provider availability or plans for procurement.</w:t>
      </w:r>
    </w:p>
    <w:p w14:paraId="6243A37E" w14:textId="5373F251" w:rsidR="006A0449" w:rsidRDefault="005D2437">
      <w:pPr>
        <w:pStyle w:val="BodyText"/>
        <w:numPr>
          <w:ilvl w:val="0"/>
          <w:numId w:val="14"/>
        </w:numPr>
      </w:pPr>
      <w:r>
        <w:t>When completing the template, ensure conciseness, specificity, and use bullet points where possible, providing information only for the period since submitting the</w:t>
      </w:r>
      <w:r w:rsidR="00463E92">
        <w:t xml:space="preserve"> fiscal year </w:t>
      </w:r>
      <w:r>
        <w:t xml:space="preserve">2023 LPND plan and adding rows </w:t>
      </w:r>
      <w:r w:rsidR="00C5242B">
        <w:t xml:space="preserve">in tables </w:t>
      </w:r>
      <w:r>
        <w:t xml:space="preserve">as necessary </w:t>
      </w:r>
      <w:r w:rsidR="00C5242B">
        <w:t>for responses</w:t>
      </w:r>
      <w:r>
        <w:t>.</w:t>
      </w:r>
      <w:r w:rsidR="006A0449">
        <w:br w:type="page"/>
      </w:r>
    </w:p>
    <w:p w14:paraId="3FB0C60C" w14:textId="5127CB6E" w:rsidR="002E77BD" w:rsidRPr="004048AB" w:rsidRDefault="002E77BD" w:rsidP="00162344">
      <w:pPr>
        <w:pStyle w:val="Heading2"/>
      </w:pPr>
      <w:r w:rsidRPr="006A0449">
        <w:t>PART I: Required for all LMHAs and</w:t>
      </w:r>
      <w:r w:rsidR="004048AB">
        <w:t xml:space="preserve"> </w:t>
      </w:r>
      <w:r w:rsidRPr="006A0449">
        <w:t>LBHAs</w:t>
      </w:r>
    </w:p>
    <w:p w14:paraId="7BAA9851" w14:textId="7EB42B0D" w:rsidR="002E77BD" w:rsidRPr="00D778F1" w:rsidRDefault="002E77BD" w:rsidP="00162344">
      <w:pPr>
        <w:pStyle w:val="Heading3"/>
        <w:rPr>
          <w:rStyle w:val="Strong"/>
          <w:bCs w:val="0"/>
        </w:rPr>
      </w:pPr>
      <w:r w:rsidRPr="00D778F1">
        <w:rPr>
          <w:rStyle w:val="Strong"/>
          <w:b/>
          <w:bCs w:val="0"/>
        </w:rPr>
        <w:t xml:space="preserve">Local Service Area </w:t>
      </w:r>
    </w:p>
    <w:p w14:paraId="5AA25316" w14:textId="0A89B5B1" w:rsidR="002E77BD" w:rsidRDefault="002E77BD" w:rsidP="006F442D">
      <w:pPr>
        <w:pStyle w:val="BodyTextafterheading"/>
        <w:numPr>
          <w:ilvl w:val="0"/>
          <w:numId w:val="16"/>
        </w:numPr>
      </w:pPr>
      <w:r>
        <w:t xml:space="preserve">Provide information </w:t>
      </w:r>
      <w:r w:rsidR="00C8295F">
        <w:t xml:space="preserve">in </w:t>
      </w:r>
      <w:r w:rsidR="00A61916">
        <w:t>t</w:t>
      </w:r>
      <w:r w:rsidR="00C8295F">
        <w:t xml:space="preserve">able 1 </w:t>
      </w:r>
      <w:r>
        <w:t>about your local service area</w:t>
      </w:r>
      <w:r w:rsidR="003D3B8E">
        <w:t xml:space="preserve"> using data fro</w:t>
      </w:r>
      <w:r w:rsidR="00A26F18">
        <w:t xml:space="preserve">m the most recent Mental and Behavioral Health Outpatient Warehouse (MBOW) </w:t>
      </w:r>
      <w:r w:rsidR="007B0FC3">
        <w:t xml:space="preserve">data set on LMHA or LBHA </w:t>
      </w:r>
      <w:r w:rsidR="00240C16">
        <w:t>Area and Population Stat</w:t>
      </w:r>
      <w:r w:rsidR="00D778F1">
        <w:t>istic</w:t>
      </w:r>
      <w:r w:rsidR="00240C16">
        <w:t xml:space="preserve">s, found in the MBOW’s General Warehouse folder. </w:t>
      </w:r>
    </w:p>
    <w:p w14:paraId="205A4FFB" w14:textId="1E6724D7" w:rsidR="002E77BD" w:rsidRPr="00F976EC" w:rsidRDefault="0040651B" w:rsidP="00E803C2">
      <w:pPr>
        <w:pStyle w:val="BodyTextafterheading"/>
        <w:spacing w:after="0"/>
        <w:rPr>
          <w:rStyle w:val="Strong"/>
        </w:rPr>
      </w:pPr>
      <w:r w:rsidRPr="00F976EC">
        <w:rPr>
          <w:rStyle w:val="Strong"/>
        </w:rPr>
        <w:t>Table 1</w:t>
      </w:r>
      <w:r w:rsidR="00E803C2">
        <w:rPr>
          <w:rStyle w:val="Strong"/>
        </w:rPr>
        <w:t xml:space="preserve">: Area and Population Statistics </w:t>
      </w:r>
    </w:p>
    <w:tbl>
      <w:tblPr>
        <w:tblStyle w:val="HHSTableforTextData"/>
        <w:tblW w:w="0" w:type="auto"/>
        <w:tblLook w:val="04A0" w:firstRow="1" w:lastRow="0" w:firstColumn="1" w:lastColumn="0" w:noHBand="0" w:noVBand="1"/>
      </w:tblPr>
      <w:tblGrid>
        <w:gridCol w:w="4675"/>
        <w:gridCol w:w="4675"/>
      </w:tblGrid>
      <w:tr w:rsidR="004C7ABA" w14:paraId="4AF3BF8F" w14:textId="77777777" w:rsidTr="004C7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E77492A" w14:textId="409650AD" w:rsidR="004C7ABA" w:rsidRDefault="004C7ABA" w:rsidP="002E77BD">
            <w:pPr>
              <w:pStyle w:val="BodyTextafterheading"/>
            </w:pPr>
            <w:r>
              <w:t>Population</w:t>
            </w:r>
          </w:p>
        </w:tc>
        <w:tc>
          <w:tcPr>
            <w:tcW w:w="4675" w:type="dxa"/>
          </w:tcPr>
          <w:p w14:paraId="313EA2AE" w14:textId="0444022B" w:rsidR="004C7ABA" w:rsidRDefault="004476CF" w:rsidP="002E77BD">
            <w:pPr>
              <w:pStyle w:val="BodyTextafterheading"/>
              <w:cnfStyle w:val="100000000000" w:firstRow="1" w:lastRow="0" w:firstColumn="0" w:lastColumn="0" w:oddVBand="0" w:evenVBand="0" w:oddHBand="0" w:evenHBand="0" w:firstRowFirstColumn="0" w:firstRowLastColumn="0" w:lastRowFirstColumn="0" w:lastRowLastColumn="0"/>
            </w:pPr>
            <w:r>
              <w:t>LMHA or LBHA Data</w:t>
            </w:r>
          </w:p>
        </w:tc>
      </w:tr>
      <w:tr w:rsidR="004C7ABA" w14:paraId="2259F294" w14:textId="77777777" w:rsidTr="004C7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4089C55" w14:textId="4B4785B1" w:rsidR="004C7ABA" w:rsidRDefault="003E0050" w:rsidP="002E77BD">
            <w:pPr>
              <w:pStyle w:val="BodyTextafterheading"/>
            </w:pPr>
            <w:r>
              <w:t>Square miles</w:t>
            </w:r>
          </w:p>
        </w:tc>
        <w:tc>
          <w:tcPr>
            <w:tcW w:w="4675" w:type="dxa"/>
          </w:tcPr>
          <w:p w14:paraId="59621203" w14:textId="52265B7A" w:rsidR="004C7ABA" w:rsidRDefault="00064D97" w:rsidP="002E77BD">
            <w:pPr>
              <w:pStyle w:val="BodyTextafterheading"/>
              <w:cnfStyle w:val="000000100000" w:firstRow="0" w:lastRow="0" w:firstColumn="0" w:lastColumn="0" w:oddVBand="0" w:evenVBand="0" w:oddHBand="1" w:evenHBand="0" w:firstRowFirstColumn="0" w:firstRowLastColumn="0" w:lastRowFirstColumn="0" w:lastRowLastColumn="0"/>
            </w:pPr>
            <w:r>
              <w:t>16,510</w:t>
            </w:r>
          </w:p>
        </w:tc>
      </w:tr>
      <w:tr w:rsidR="004C7ABA" w14:paraId="4101F938" w14:textId="77777777" w:rsidTr="004C7A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FBBEA69" w14:textId="759AF910" w:rsidR="004C7ABA" w:rsidRDefault="003E0050" w:rsidP="002E77BD">
            <w:pPr>
              <w:pStyle w:val="BodyTextafterheading"/>
            </w:pPr>
            <w:r>
              <w:t>Population density</w:t>
            </w:r>
          </w:p>
        </w:tc>
        <w:tc>
          <w:tcPr>
            <w:tcW w:w="4675" w:type="dxa"/>
          </w:tcPr>
          <w:p w14:paraId="171CA566" w14:textId="1714EAB8" w:rsidR="00634DBB" w:rsidRPr="00634DBB" w:rsidRDefault="00634DBB" w:rsidP="00634DBB">
            <w:pPr>
              <w:pStyle w:val="BodyTextafterheading"/>
              <w:cnfStyle w:val="000000010000" w:firstRow="0" w:lastRow="0" w:firstColumn="0" w:lastColumn="0" w:oddVBand="0" w:evenVBand="0" w:oddHBand="0" w:evenHBand="1" w:firstRowFirstColumn="0" w:firstRowLastColumn="0" w:lastRowFirstColumn="0" w:lastRowLastColumn="0"/>
            </w:pPr>
            <w:r>
              <w:t>313,269</w:t>
            </w:r>
          </w:p>
        </w:tc>
      </w:tr>
      <w:tr w:rsidR="003E0050" w14:paraId="5C5DC7E7" w14:textId="77777777" w:rsidTr="004C7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CB49042" w14:textId="0C690C87" w:rsidR="003E0050" w:rsidRDefault="003E0050" w:rsidP="002E77BD">
            <w:pPr>
              <w:pStyle w:val="BodyTextafterheading"/>
            </w:pPr>
            <w:r>
              <w:t>Total number of counties</w:t>
            </w:r>
          </w:p>
        </w:tc>
        <w:tc>
          <w:tcPr>
            <w:tcW w:w="4675" w:type="dxa"/>
          </w:tcPr>
          <w:p w14:paraId="160F19CF" w14:textId="6E6B7B40" w:rsidR="003E0050" w:rsidRDefault="00064D97" w:rsidP="002E77BD">
            <w:pPr>
              <w:pStyle w:val="BodyTextafterheading"/>
              <w:cnfStyle w:val="000000100000" w:firstRow="0" w:lastRow="0" w:firstColumn="0" w:lastColumn="0" w:oddVBand="0" w:evenVBand="0" w:oddHBand="1" w:evenHBand="0" w:firstRowFirstColumn="0" w:firstRowLastColumn="0" w:lastRowFirstColumn="0" w:lastRowLastColumn="0"/>
            </w:pPr>
            <w:r>
              <w:t>19</w:t>
            </w:r>
          </w:p>
        </w:tc>
      </w:tr>
      <w:tr w:rsidR="004C7ABA" w14:paraId="4661FEE3" w14:textId="77777777" w:rsidTr="004C7A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3C2B7E8" w14:textId="7C6C66FE" w:rsidR="004C7ABA" w:rsidRDefault="003E0050" w:rsidP="002E77BD">
            <w:pPr>
              <w:pStyle w:val="BodyTextafterheading"/>
            </w:pPr>
            <w:r>
              <w:t>Number of rural counties</w:t>
            </w:r>
          </w:p>
        </w:tc>
        <w:tc>
          <w:tcPr>
            <w:tcW w:w="4675" w:type="dxa"/>
          </w:tcPr>
          <w:p w14:paraId="6015FB99" w14:textId="1D124BEC" w:rsidR="004C7ABA" w:rsidRDefault="00064D97" w:rsidP="002E77BD">
            <w:pPr>
              <w:pStyle w:val="BodyTextafterheading"/>
              <w:cnfStyle w:val="000000010000" w:firstRow="0" w:lastRow="0" w:firstColumn="0" w:lastColumn="0" w:oddVBand="0" w:evenVBand="0" w:oddHBand="0" w:evenHBand="1" w:firstRowFirstColumn="0" w:firstRowLastColumn="0" w:lastRowFirstColumn="0" w:lastRowLastColumn="0"/>
            </w:pPr>
            <w:r>
              <w:t>19</w:t>
            </w:r>
          </w:p>
        </w:tc>
      </w:tr>
      <w:tr w:rsidR="004C7ABA" w14:paraId="5E4ED29F" w14:textId="77777777" w:rsidTr="004C7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87C304B" w14:textId="723C741C" w:rsidR="004C7ABA" w:rsidRDefault="003E0050" w:rsidP="002E77BD">
            <w:pPr>
              <w:pStyle w:val="BodyTextafterheading"/>
            </w:pPr>
            <w:r>
              <w:t>Number of urban counties</w:t>
            </w:r>
          </w:p>
        </w:tc>
        <w:tc>
          <w:tcPr>
            <w:tcW w:w="4675" w:type="dxa"/>
          </w:tcPr>
          <w:p w14:paraId="0F558152" w14:textId="3745ED57" w:rsidR="00064D97" w:rsidRPr="00064D97" w:rsidRDefault="00064D97" w:rsidP="00064D97">
            <w:pPr>
              <w:pStyle w:val="BodyTextafterheading"/>
              <w:cnfStyle w:val="000000100000" w:firstRow="0" w:lastRow="0" w:firstColumn="0" w:lastColumn="0" w:oddVBand="0" w:evenVBand="0" w:oddHBand="1" w:evenHBand="0" w:firstRowFirstColumn="0" w:firstRowLastColumn="0" w:lastRowFirstColumn="0" w:lastRowLastColumn="0"/>
            </w:pPr>
            <w:r>
              <w:t>0</w:t>
            </w:r>
          </w:p>
        </w:tc>
      </w:tr>
    </w:tbl>
    <w:p w14:paraId="4CE52545" w14:textId="7BB0E533" w:rsidR="002E77BD" w:rsidRPr="005D7531" w:rsidRDefault="002E77BD" w:rsidP="000967CA">
      <w:pPr>
        <w:pStyle w:val="Heading3"/>
        <w:rPr>
          <w:rStyle w:val="Strong"/>
          <w:bCs w:val="0"/>
        </w:rPr>
      </w:pPr>
      <w:r w:rsidRPr="005D7531">
        <w:rPr>
          <w:rStyle w:val="Strong"/>
          <w:b/>
          <w:bCs w:val="0"/>
        </w:rPr>
        <w:t>Current Services and Contracts</w:t>
      </w:r>
    </w:p>
    <w:p w14:paraId="0DD3A07C" w14:textId="79E3AB13" w:rsidR="002E77BD" w:rsidRDefault="002E77BD" w:rsidP="00C079CD">
      <w:pPr>
        <w:pStyle w:val="BodyTextafterheading"/>
        <w:numPr>
          <w:ilvl w:val="0"/>
          <w:numId w:val="16"/>
        </w:numPr>
      </w:pPr>
      <w:r>
        <w:t xml:space="preserve">Complete </w:t>
      </w:r>
      <w:r w:rsidR="00BF601F">
        <w:t>t</w:t>
      </w:r>
      <w:r w:rsidR="00C079CD">
        <w:t>able</w:t>
      </w:r>
      <w:r w:rsidR="00636EB9">
        <w:t>s</w:t>
      </w:r>
      <w:r w:rsidR="00C079CD">
        <w:t xml:space="preserve"> </w:t>
      </w:r>
      <w:r w:rsidR="000E09DF">
        <w:t>2</w:t>
      </w:r>
      <w:r w:rsidR="00636EB9">
        <w:t xml:space="preserve"> t</w:t>
      </w:r>
      <w:r w:rsidR="004D0536">
        <w:t xml:space="preserve">hrough </w:t>
      </w:r>
      <w:r w:rsidR="000E09DF">
        <w:t>4</w:t>
      </w:r>
      <w:r>
        <w:t xml:space="preserve"> to provide an overview of current services and contracts.</w:t>
      </w:r>
    </w:p>
    <w:p w14:paraId="0AC0756A" w14:textId="5C8FB9AB" w:rsidR="002E77BD" w:rsidRDefault="002E77BD" w:rsidP="00C079CD">
      <w:pPr>
        <w:pStyle w:val="BodyTextafterheading"/>
        <w:numPr>
          <w:ilvl w:val="0"/>
          <w:numId w:val="16"/>
        </w:numPr>
      </w:pPr>
      <w:r>
        <w:t xml:space="preserve">List the service capacity based on the most recent MBOW data set. </w:t>
      </w:r>
    </w:p>
    <w:p w14:paraId="1465181C" w14:textId="77DDFD05" w:rsidR="002E77BD" w:rsidRDefault="002E77BD" w:rsidP="00C079CD">
      <w:pPr>
        <w:pStyle w:val="BodyTextafterheading"/>
        <w:numPr>
          <w:ilvl w:val="1"/>
          <w:numId w:val="16"/>
        </w:numPr>
      </w:pPr>
      <w:r>
        <w:t xml:space="preserve">For </w:t>
      </w:r>
      <w:r w:rsidR="005D7531">
        <w:t>l</w:t>
      </w:r>
      <w:r>
        <w:t xml:space="preserve">evels of </w:t>
      </w:r>
      <w:r w:rsidR="005D7531">
        <w:t>c</w:t>
      </w:r>
      <w:r>
        <w:t>are</w:t>
      </w:r>
      <w:r w:rsidR="005D7531">
        <w:t xml:space="preserve"> (LOC)</w:t>
      </w:r>
      <w:r>
        <w:t>, list the non-Medicaid average monthly served</w:t>
      </w:r>
      <w:r w:rsidR="007A5387">
        <w:t xml:space="preserve"> </w:t>
      </w:r>
      <w:r>
        <w:t xml:space="preserve">found in MBOW using data from the </w:t>
      </w:r>
      <w:r w:rsidR="000062BC">
        <w:t xml:space="preserve">LOC-A by Center (Non-Medicaid Only and All Clients) </w:t>
      </w:r>
      <w:r>
        <w:t>report in the General Warehouse folder</w:t>
      </w:r>
      <w:r w:rsidR="000062BC">
        <w:t>.</w:t>
      </w:r>
    </w:p>
    <w:p w14:paraId="055AB148" w14:textId="4654213A" w:rsidR="002E77BD" w:rsidRDefault="002E77BD" w:rsidP="00C079CD">
      <w:pPr>
        <w:pStyle w:val="BodyTextafterheading"/>
        <w:numPr>
          <w:ilvl w:val="1"/>
          <w:numId w:val="16"/>
        </w:numPr>
      </w:pPr>
      <w:r>
        <w:t>For residential programs, list the total number of beds and total discharges (all clients).</w:t>
      </w:r>
    </w:p>
    <w:p w14:paraId="034FD919" w14:textId="600959D1" w:rsidR="002E77BD" w:rsidRDefault="002E77BD" w:rsidP="00C079CD">
      <w:pPr>
        <w:pStyle w:val="BodyTextafterheading"/>
        <w:numPr>
          <w:ilvl w:val="1"/>
          <w:numId w:val="16"/>
        </w:numPr>
      </w:pPr>
      <w:r>
        <w:t>For other services, identify the unit of service (all clients).</w:t>
      </w:r>
    </w:p>
    <w:p w14:paraId="29484191" w14:textId="68B1E12F" w:rsidR="002E77BD" w:rsidRDefault="002E77BD" w:rsidP="00C079CD">
      <w:pPr>
        <w:pStyle w:val="BodyTextafterheading"/>
        <w:numPr>
          <w:ilvl w:val="1"/>
          <w:numId w:val="16"/>
        </w:numPr>
      </w:pPr>
      <w:r>
        <w:t>Estimate the service capacity</w:t>
      </w:r>
      <w:r w:rsidR="00341CFE">
        <w:t xml:space="preserve"> for fiscal year 2025</w:t>
      </w:r>
      <w:r>
        <w:t xml:space="preserve">. If no change is anticipated, enter the same information </w:t>
      </w:r>
      <w:r w:rsidR="002B6788">
        <w:t>previous column</w:t>
      </w:r>
      <w:r w:rsidRPr="002B6788">
        <w:t>.</w:t>
      </w:r>
    </w:p>
    <w:p w14:paraId="1143BDC3" w14:textId="75BE1BE4" w:rsidR="004A5EE8" w:rsidRDefault="002E77BD" w:rsidP="00C079CD">
      <w:pPr>
        <w:pStyle w:val="BodyTextafterheading"/>
        <w:numPr>
          <w:ilvl w:val="1"/>
          <w:numId w:val="16"/>
        </w:numPr>
      </w:pPr>
      <w:r>
        <w:t xml:space="preserve">State the total percent of each service contracted out to external providers in </w:t>
      </w:r>
      <w:r w:rsidR="00050A4F">
        <w:t xml:space="preserve">fiscal year </w:t>
      </w:r>
      <w:r w:rsidRPr="00BD456B">
        <w:t>202</w:t>
      </w:r>
      <w:r w:rsidR="002B6788">
        <w:t>4</w:t>
      </w:r>
      <w:r>
        <w:t xml:space="preserve">. </w:t>
      </w:r>
      <w:r w:rsidR="00FA29AA">
        <w:t>F</w:t>
      </w:r>
      <w:r>
        <w:t xml:space="preserve">or </w:t>
      </w:r>
      <w:r w:rsidR="004B2314">
        <w:t>LOCs</w:t>
      </w:r>
      <w:r>
        <w:t xml:space="preserve">, do not include contracts for discrete services within those levels of care when calculating percentages. </w:t>
      </w:r>
    </w:p>
    <w:p w14:paraId="45987BA9" w14:textId="31F07B45" w:rsidR="004A5EE8" w:rsidRPr="00F976EC" w:rsidRDefault="004A5EE8" w:rsidP="00E83467">
      <w:pPr>
        <w:pStyle w:val="BodyText"/>
        <w:spacing w:after="0"/>
        <w:rPr>
          <w:rStyle w:val="Strong"/>
        </w:rPr>
      </w:pPr>
      <w:r w:rsidRPr="00F976EC">
        <w:rPr>
          <w:rStyle w:val="Strong"/>
        </w:rPr>
        <w:t xml:space="preserve">Table </w:t>
      </w:r>
      <w:r w:rsidR="000E09DF">
        <w:rPr>
          <w:rStyle w:val="Strong"/>
        </w:rPr>
        <w:t>2</w:t>
      </w:r>
      <w:r w:rsidRPr="00F976EC">
        <w:rPr>
          <w:rStyle w:val="Strong"/>
        </w:rPr>
        <w:t xml:space="preserve">: </w:t>
      </w:r>
      <w:r w:rsidR="004B2314">
        <w:rPr>
          <w:rStyle w:val="Strong"/>
        </w:rPr>
        <w:t xml:space="preserve">Service Capacity for </w:t>
      </w:r>
      <w:r w:rsidRPr="00F976EC">
        <w:rPr>
          <w:rStyle w:val="Strong"/>
        </w:rPr>
        <w:t xml:space="preserve">Adult </w:t>
      </w:r>
      <w:r w:rsidR="00BE2B77">
        <w:rPr>
          <w:rStyle w:val="Strong"/>
        </w:rPr>
        <w:t xml:space="preserve">Community Mental Health </w:t>
      </w:r>
      <w:r w:rsidRPr="00F976EC">
        <w:rPr>
          <w:rStyle w:val="Strong"/>
        </w:rPr>
        <w:t xml:space="preserve">Service </w:t>
      </w:r>
      <w:r w:rsidR="005D7531">
        <w:rPr>
          <w:rStyle w:val="Strong"/>
        </w:rPr>
        <w:t>LOC</w:t>
      </w:r>
      <w:r w:rsidR="004B2314">
        <w:rPr>
          <w:rStyle w:val="Strong"/>
        </w:rPr>
        <w:t>s</w:t>
      </w:r>
    </w:p>
    <w:tbl>
      <w:tblPr>
        <w:tblStyle w:val="HHSTableforTextData"/>
        <w:tblW w:w="0" w:type="auto"/>
        <w:tblLook w:val="04A0" w:firstRow="1" w:lastRow="0" w:firstColumn="1" w:lastColumn="0" w:noHBand="0" w:noVBand="1"/>
      </w:tblPr>
      <w:tblGrid>
        <w:gridCol w:w="1525"/>
        <w:gridCol w:w="2430"/>
        <w:gridCol w:w="2430"/>
        <w:gridCol w:w="2965"/>
      </w:tblGrid>
      <w:tr w:rsidR="008E02EC" w14:paraId="5474F352" w14:textId="77777777" w:rsidTr="00D37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050686B9" w14:textId="2CD97491" w:rsidR="008E02EC" w:rsidRDefault="005D7531" w:rsidP="004B2314">
            <w:pPr>
              <w:pStyle w:val="BodyTextafterheading"/>
            </w:pPr>
            <w:r>
              <w:t>LOC</w:t>
            </w:r>
          </w:p>
        </w:tc>
        <w:tc>
          <w:tcPr>
            <w:tcW w:w="2430" w:type="dxa"/>
            <w:vAlign w:val="center"/>
          </w:tcPr>
          <w:p w14:paraId="666B12AA" w14:textId="43747EC7" w:rsidR="008E02EC" w:rsidRDefault="00DC0555" w:rsidP="004B2314">
            <w:pPr>
              <w:pStyle w:val="BodyTextafterheading"/>
              <w:cnfStyle w:val="100000000000" w:firstRow="1" w:lastRow="0" w:firstColumn="0" w:lastColumn="0" w:oddVBand="0" w:evenVBand="0" w:oddHBand="0" w:evenHBand="0" w:firstRowFirstColumn="0" w:firstRowLastColumn="0" w:lastRowFirstColumn="0" w:lastRowLastColumn="0"/>
            </w:pPr>
            <w:r>
              <w:t>Most recent service capacity (non-Medicaid only)</w:t>
            </w:r>
          </w:p>
        </w:tc>
        <w:tc>
          <w:tcPr>
            <w:tcW w:w="2430" w:type="dxa"/>
            <w:vAlign w:val="center"/>
          </w:tcPr>
          <w:p w14:paraId="34B7EB16" w14:textId="314D1B2F" w:rsidR="008E02EC" w:rsidRDefault="00DC0555" w:rsidP="004B2314">
            <w:pPr>
              <w:pStyle w:val="BodyTextafterheading"/>
              <w:cnfStyle w:val="100000000000" w:firstRow="1" w:lastRow="0" w:firstColumn="0" w:lastColumn="0" w:oddVBand="0" w:evenVBand="0" w:oddHBand="0" w:evenHBand="0" w:firstRowFirstColumn="0" w:firstRowLastColumn="0" w:lastRowFirstColumn="0" w:lastRowLastColumn="0"/>
            </w:pPr>
            <w:r>
              <w:t xml:space="preserve">Estimated FY </w:t>
            </w:r>
            <w:r w:rsidR="00297272">
              <w:t>2025</w:t>
            </w:r>
            <w:r>
              <w:t xml:space="preserve"> service capacit</w:t>
            </w:r>
            <w:r w:rsidR="00297272">
              <w:t>y (</w:t>
            </w:r>
            <w:r>
              <w:t>non-Medicaid only)</w:t>
            </w:r>
          </w:p>
        </w:tc>
        <w:tc>
          <w:tcPr>
            <w:tcW w:w="2965" w:type="dxa"/>
            <w:vAlign w:val="center"/>
          </w:tcPr>
          <w:p w14:paraId="0EC270FB" w14:textId="289002C4" w:rsidR="008E02EC" w:rsidRDefault="005D7531" w:rsidP="004B2314">
            <w:pPr>
              <w:pStyle w:val="BodyTextafterheading"/>
              <w:cnfStyle w:val="100000000000" w:firstRow="1" w:lastRow="0" w:firstColumn="0" w:lastColumn="0" w:oddVBand="0" w:evenVBand="0" w:oddHBand="0" w:evenHBand="0" w:firstRowFirstColumn="0" w:firstRowLastColumn="0" w:lastRowFirstColumn="0" w:lastRowLastColumn="0"/>
            </w:pPr>
            <w:r>
              <w:t>%</w:t>
            </w:r>
            <w:r w:rsidR="003647A9">
              <w:t xml:space="preserve"> total non-Medicaid capacity provided by external providers in FY</w:t>
            </w:r>
            <w:r w:rsidR="00E83467">
              <w:t xml:space="preserve"> </w:t>
            </w:r>
            <w:r w:rsidR="003647A9">
              <w:t>2</w:t>
            </w:r>
            <w:r w:rsidR="00297272">
              <w:t>025</w:t>
            </w:r>
          </w:p>
        </w:tc>
      </w:tr>
      <w:tr w:rsidR="008E02EC" w14:paraId="7377D226"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6B28CD41" w14:textId="380520ED" w:rsidR="008E02EC" w:rsidRDefault="00502770" w:rsidP="002E77BD">
            <w:pPr>
              <w:pStyle w:val="BodyTextafterheading"/>
            </w:pPr>
            <w:r>
              <w:t>Adult LOC 1m</w:t>
            </w:r>
          </w:p>
        </w:tc>
        <w:tc>
          <w:tcPr>
            <w:tcW w:w="2430" w:type="dxa"/>
          </w:tcPr>
          <w:p w14:paraId="17572609" w14:textId="187D5D27" w:rsidR="008E02EC" w:rsidRDefault="00634DBB" w:rsidP="002E77BD">
            <w:pPr>
              <w:pStyle w:val="BodyTextafterheading"/>
              <w:cnfStyle w:val="000000100000" w:firstRow="0" w:lastRow="0" w:firstColumn="0" w:lastColumn="0" w:oddVBand="0" w:evenVBand="0" w:oddHBand="1" w:evenHBand="0" w:firstRowFirstColumn="0" w:firstRowLastColumn="0" w:lastRowFirstColumn="0" w:lastRowLastColumn="0"/>
            </w:pPr>
            <w:r>
              <w:t>9</w:t>
            </w:r>
          </w:p>
        </w:tc>
        <w:tc>
          <w:tcPr>
            <w:tcW w:w="2430" w:type="dxa"/>
          </w:tcPr>
          <w:p w14:paraId="055ADEA5" w14:textId="1C6B5F83" w:rsidR="008E02EC" w:rsidRDefault="00634DBB" w:rsidP="002E77BD">
            <w:pPr>
              <w:pStyle w:val="BodyTextafterheading"/>
              <w:cnfStyle w:val="000000100000" w:firstRow="0" w:lastRow="0" w:firstColumn="0" w:lastColumn="0" w:oddVBand="0" w:evenVBand="0" w:oddHBand="1" w:evenHBand="0" w:firstRowFirstColumn="0" w:firstRowLastColumn="0" w:lastRowFirstColumn="0" w:lastRowLastColumn="0"/>
            </w:pPr>
            <w:r>
              <w:t>9</w:t>
            </w:r>
          </w:p>
        </w:tc>
        <w:tc>
          <w:tcPr>
            <w:tcW w:w="2965" w:type="dxa"/>
          </w:tcPr>
          <w:p w14:paraId="0A1C1C56" w14:textId="2E191922" w:rsidR="008E02EC" w:rsidRDefault="00E8086A" w:rsidP="002E77BD">
            <w:pPr>
              <w:pStyle w:val="BodyTextafterheading"/>
              <w:cnfStyle w:val="000000100000" w:firstRow="0" w:lastRow="0" w:firstColumn="0" w:lastColumn="0" w:oddVBand="0" w:evenVBand="0" w:oddHBand="1" w:evenHBand="0" w:firstRowFirstColumn="0" w:firstRowLastColumn="0" w:lastRowFirstColumn="0" w:lastRowLastColumn="0"/>
            </w:pPr>
            <w:r>
              <w:t>0%</w:t>
            </w:r>
          </w:p>
        </w:tc>
      </w:tr>
      <w:tr w:rsidR="008E02EC" w14:paraId="09943027"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56C603E0" w14:textId="7621D68E" w:rsidR="008E02EC" w:rsidRDefault="00502770" w:rsidP="002E77BD">
            <w:pPr>
              <w:pStyle w:val="BodyTextafterheading"/>
            </w:pPr>
            <w:r>
              <w:t>Adult LOC 1s</w:t>
            </w:r>
          </w:p>
        </w:tc>
        <w:tc>
          <w:tcPr>
            <w:tcW w:w="2430" w:type="dxa"/>
          </w:tcPr>
          <w:p w14:paraId="058F7CD3" w14:textId="233CC8E9" w:rsidR="008E02EC" w:rsidRDefault="00634DBB" w:rsidP="002E77BD">
            <w:pPr>
              <w:pStyle w:val="BodyTextafterheading"/>
              <w:cnfStyle w:val="000000010000" w:firstRow="0" w:lastRow="0" w:firstColumn="0" w:lastColumn="0" w:oddVBand="0" w:evenVBand="0" w:oddHBand="0" w:evenHBand="1" w:firstRowFirstColumn="0" w:firstRowLastColumn="0" w:lastRowFirstColumn="0" w:lastRowLastColumn="0"/>
            </w:pPr>
            <w:r>
              <w:t>1878</w:t>
            </w:r>
          </w:p>
        </w:tc>
        <w:tc>
          <w:tcPr>
            <w:tcW w:w="2430" w:type="dxa"/>
          </w:tcPr>
          <w:p w14:paraId="6CB452F6" w14:textId="64B10F5E" w:rsidR="00E8086A" w:rsidRPr="00E8086A" w:rsidRDefault="00E8086A" w:rsidP="00E8086A">
            <w:pPr>
              <w:pStyle w:val="BodyTextafterheading"/>
              <w:cnfStyle w:val="000000010000" w:firstRow="0" w:lastRow="0" w:firstColumn="0" w:lastColumn="0" w:oddVBand="0" w:evenVBand="0" w:oddHBand="0" w:evenHBand="1" w:firstRowFirstColumn="0" w:firstRowLastColumn="0" w:lastRowFirstColumn="0" w:lastRowLastColumn="0"/>
            </w:pPr>
            <w:r>
              <w:t>1878</w:t>
            </w:r>
          </w:p>
        </w:tc>
        <w:tc>
          <w:tcPr>
            <w:tcW w:w="2965" w:type="dxa"/>
          </w:tcPr>
          <w:p w14:paraId="5CDF9CEE" w14:textId="7A9A9560" w:rsidR="008E02EC" w:rsidRDefault="00E8086A" w:rsidP="002E77BD">
            <w:pPr>
              <w:pStyle w:val="BodyTextafterheading"/>
              <w:cnfStyle w:val="000000010000" w:firstRow="0" w:lastRow="0" w:firstColumn="0" w:lastColumn="0" w:oddVBand="0" w:evenVBand="0" w:oddHBand="0" w:evenHBand="1" w:firstRowFirstColumn="0" w:firstRowLastColumn="0" w:lastRowFirstColumn="0" w:lastRowLastColumn="0"/>
            </w:pPr>
            <w:r>
              <w:t>0%</w:t>
            </w:r>
          </w:p>
        </w:tc>
      </w:tr>
      <w:tr w:rsidR="008E02EC" w14:paraId="5F947237"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15080BE8" w14:textId="25FC0BFD" w:rsidR="008E02EC" w:rsidRDefault="00502770" w:rsidP="002E77BD">
            <w:pPr>
              <w:pStyle w:val="BodyTextafterheading"/>
            </w:pPr>
            <w:r>
              <w:t>Adult LOC 2</w:t>
            </w:r>
          </w:p>
        </w:tc>
        <w:tc>
          <w:tcPr>
            <w:tcW w:w="2430" w:type="dxa"/>
          </w:tcPr>
          <w:p w14:paraId="70BD7E8C" w14:textId="1C76FBF1" w:rsidR="008E02EC" w:rsidRDefault="00634DBB" w:rsidP="002E77BD">
            <w:pPr>
              <w:pStyle w:val="BodyTextafterheading"/>
              <w:cnfStyle w:val="000000100000" w:firstRow="0" w:lastRow="0" w:firstColumn="0" w:lastColumn="0" w:oddVBand="0" w:evenVBand="0" w:oddHBand="1" w:evenHBand="0" w:firstRowFirstColumn="0" w:firstRowLastColumn="0" w:lastRowFirstColumn="0" w:lastRowLastColumn="0"/>
            </w:pPr>
            <w:r>
              <w:t>183</w:t>
            </w:r>
          </w:p>
        </w:tc>
        <w:tc>
          <w:tcPr>
            <w:tcW w:w="2430" w:type="dxa"/>
          </w:tcPr>
          <w:p w14:paraId="30ACB4B3" w14:textId="6CCAFA9D" w:rsidR="008E02EC" w:rsidRDefault="00E8086A" w:rsidP="002E77BD">
            <w:pPr>
              <w:pStyle w:val="BodyTextafterheading"/>
              <w:cnfStyle w:val="000000100000" w:firstRow="0" w:lastRow="0" w:firstColumn="0" w:lastColumn="0" w:oddVBand="0" w:evenVBand="0" w:oddHBand="1" w:evenHBand="0" w:firstRowFirstColumn="0" w:firstRowLastColumn="0" w:lastRowFirstColumn="0" w:lastRowLastColumn="0"/>
            </w:pPr>
            <w:r>
              <w:t>183</w:t>
            </w:r>
          </w:p>
        </w:tc>
        <w:tc>
          <w:tcPr>
            <w:tcW w:w="2965" w:type="dxa"/>
          </w:tcPr>
          <w:p w14:paraId="6C9D09F8" w14:textId="1196764A" w:rsidR="008E02EC" w:rsidRDefault="00E8086A" w:rsidP="002E77BD">
            <w:pPr>
              <w:pStyle w:val="BodyTextafterheading"/>
              <w:cnfStyle w:val="000000100000" w:firstRow="0" w:lastRow="0" w:firstColumn="0" w:lastColumn="0" w:oddVBand="0" w:evenVBand="0" w:oddHBand="1" w:evenHBand="0" w:firstRowFirstColumn="0" w:firstRowLastColumn="0" w:lastRowFirstColumn="0" w:lastRowLastColumn="0"/>
            </w:pPr>
            <w:r>
              <w:t>0%</w:t>
            </w:r>
          </w:p>
        </w:tc>
      </w:tr>
      <w:tr w:rsidR="008E02EC" w14:paraId="6200AE74"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5CEEA363" w14:textId="118AD972" w:rsidR="008E02EC" w:rsidRDefault="00502770" w:rsidP="002E77BD">
            <w:pPr>
              <w:pStyle w:val="BodyTextafterheading"/>
            </w:pPr>
            <w:r>
              <w:t>Adult LOC 3</w:t>
            </w:r>
          </w:p>
        </w:tc>
        <w:tc>
          <w:tcPr>
            <w:tcW w:w="2430" w:type="dxa"/>
          </w:tcPr>
          <w:p w14:paraId="49FEED06" w14:textId="63B12AE1" w:rsidR="008E02EC" w:rsidRDefault="00634DBB" w:rsidP="002E77BD">
            <w:pPr>
              <w:pStyle w:val="BodyTextafterheading"/>
              <w:cnfStyle w:val="000000010000" w:firstRow="0" w:lastRow="0" w:firstColumn="0" w:lastColumn="0" w:oddVBand="0" w:evenVBand="0" w:oddHBand="0" w:evenHBand="1" w:firstRowFirstColumn="0" w:firstRowLastColumn="0" w:lastRowFirstColumn="0" w:lastRowLastColumn="0"/>
            </w:pPr>
            <w:r>
              <w:t>58</w:t>
            </w:r>
          </w:p>
        </w:tc>
        <w:tc>
          <w:tcPr>
            <w:tcW w:w="2430" w:type="dxa"/>
          </w:tcPr>
          <w:p w14:paraId="53D7D3C6" w14:textId="695AD7B3" w:rsidR="008E02EC" w:rsidRDefault="00E8086A" w:rsidP="002E77BD">
            <w:pPr>
              <w:pStyle w:val="BodyTextafterheading"/>
              <w:cnfStyle w:val="000000010000" w:firstRow="0" w:lastRow="0" w:firstColumn="0" w:lastColumn="0" w:oddVBand="0" w:evenVBand="0" w:oddHBand="0" w:evenHBand="1" w:firstRowFirstColumn="0" w:firstRowLastColumn="0" w:lastRowFirstColumn="0" w:lastRowLastColumn="0"/>
            </w:pPr>
            <w:r>
              <w:t>58</w:t>
            </w:r>
          </w:p>
        </w:tc>
        <w:tc>
          <w:tcPr>
            <w:tcW w:w="2965" w:type="dxa"/>
          </w:tcPr>
          <w:p w14:paraId="19E42F8B" w14:textId="11B9B875" w:rsidR="008E02EC" w:rsidRDefault="00E8086A" w:rsidP="002E77BD">
            <w:pPr>
              <w:pStyle w:val="BodyTextafterheading"/>
              <w:cnfStyle w:val="000000010000" w:firstRow="0" w:lastRow="0" w:firstColumn="0" w:lastColumn="0" w:oddVBand="0" w:evenVBand="0" w:oddHBand="0" w:evenHBand="1" w:firstRowFirstColumn="0" w:firstRowLastColumn="0" w:lastRowFirstColumn="0" w:lastRowLastColumn="0"/>
            </w:pPr>
            <w:r>
              <w:t>0%</w:t>
            </w:r>
          </w:p>
        </w:tc>
      </w:tr>
      <w:tr w:rsidR="00502770" w14:paraId="5CCA182C"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6D28EA62" w14:textId="5026AFEF" w:rsidR="00502770" w:rsidRDefault="00502770" w:rsidP="002E77BD">
            <w:pPr>
              <w:pStyle w:val="BodyTextafterheading"/>
            </w:pPr>
            <w:r>
              <w:t>Adult LOC 4</w:t>
            </w:r>
          </w:p>
        </w:tc>
        <w:tc>
          <w:tcPr>
            <w:tcW w:w="2430" w:type="dxa"/>
          </w:tcPr>
          <w:p w14:paraId="55B49DB9" w14:textId="7AF1F23E" w:rsidR="00502770" w:rsidRDefault="00634DBB" w:rsidP="002E77BD">
            <w:pPr>
              <w:pStyle w:val="BodyTextafterheading"/>
              <w:cnfStyle w:val="000000100000" w:firstRow="0" w:lastRow="0" w:firstColumn="0" w:lastColumn="0" w:oddVBand="0" w:evenVBand="0" w:oddHBand="1" w:evenHBand="0" w:firstRowFirstColumn="0" w:firstRowLastColumn="0" w:lastRowFirstColumn="0" w:lastRowLastColumn="0"/>
            </w:pPr>
            <w:r>
              <w:t>43</w:t>
            </w:r>
          </w:p>
        </w:tc>
        <w:tc>
          <w:tcPr>
            <w:tcW w:w="2430" w:type="dxa"/>
          </w:tcPr>
          <w:p w14:paraId="0D13A03F" w14:textId="2C8CA58B" w:rsidR="00502770" w:rsidRDefault="00E8086A" w:rsidP="002E77BD">
            <w:pPr>
              <w:pStyle w:val="BodyTextafterheading"/>
              <w:cnfStyle w:val="000000100000" w:firstRow="0" w:lastRow="0" w:firstColumn="0" w:lastColumn="0" w:oddVBand="0" w:evenVBand="0" w:oddHBand="1" w:evenHBand="0" w:firstRowFirstColumn="0" w:firstRowLastColumn="0" w:lastRowFirstColumn="0" w:lastRowLastColumn="0"/>
            </w:pPr>
            <w:r>
              <w:t>43</w:t>
            </w:r>
          </w:p>
        </w:tc>
        <w:tc>
          <w:tcPr>
            <w:tcW w:w="2965" w:type="dxa"/>
          </w:tcPr>
          <w:p w14:paraId="44F742CA" w14:textId="60E71DBB" w:rsidR="00502770" w:rsidRDefault="00E8086A" w:rsidP="002E77BD">
            <w:pPr>
              <w:pStyle w:val="BodyTextafterheading"/>
              <w:cnfStyle w:val="000000100000" w:firstRow="0" w:lastRow="0" w:firstColumn="0" w:lastColumn="0" w:oddVBand="0" w:evenVBand="0" w:oddHBand="1" w:evenHBand="0" w:firstRowFirstColumn="0" w:firstRowLastColumn="0" w:lastRowFirstColumn="0" w:lastRowLastColumn="0"/>
            </w:pPr>
            <w:r>
              <w:t>0%</w:t>
            </w:r>
          </w:p>
        </w:tc>
      </w:tr>
      <w:tr w:rsidR="00502770" w14:paraId="36F44EEE"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57218215" w14:textId="6E38A095" w:rsidR="00502770" w:rsidRDefault="00502770" w:rsidP="002E77BD">
            <w:pPr>
              <w:pStyle w:val="BodyTextafterheading"/>
            </w:pPr>
            <w:r>
              <w:t>Adult LOC 5</w:t>
            </w:r>
          </w:p>
        </w:tc>
        <w:tc>
          <w:tcPr>
            <w:tcW w:w="2430" w:type="dxa"/>
          </w:tcPr>
          <w:p w14:paraId="3B884CA6" w14:textId="0CEE9223" w:rsidR="00502770" w:rsidRDefault="00634DBB" w:rsidP="002E77BD">
            <w:pPr>
              <w:pStyle w:val="BodyTextafterheading"/>
              <w:cnfStyle w:val="000000010000" w:firstRow="0" w:lastRow="0" w:firstColumn="0" w:lastColumn="0" w:oddVBand="0" w:evenVBand="0" w:oddHBand="0" w:evenHBand="1" w:firstRowFirstColumn="0" w:firstRowLastColumn="0" w:lastRowFirstColumn="0" w:lastRowLastColumn="0"/>
            </w:pPr>
            <w:r>
              <w:t>0</w:t>
            </w:r>
          </w:p>
        </w:tc>
        <w:tc>
          <w:tcPr>
            <w:tcW w:w="2430" w:type="dxa"/>
          </w:tcPr>
          <w:p w14:paraId="76F16128" w14:textId="67B66F27" w:rsidR="00502770" w:rsidRDefault="00E8086A" w:rsidP="002E77BD">
            <w:pPr>
              <w:pStyle w:val="BodyTextafterheading"/>
              <w:cnfStyle w:val="000000010000" w:firstRow="0" w:lastRow="0" w:firstColumn="0" w:lastColumn="0" w:oddVBand="0" w:evenVBand="0" w:oddHBand="0" w:evenHBand="1" w:firstRowFirstColumn="0" w:firstRowLastColumn="0" w:lastRowFirstColumn="0" w:lastRowLastColumn="0"/>
            </w:pPr>
            <w:r>
              <w:t>0</w:t>
            </w:r>
          </w:p>
        </w:tc>
        <w:tc>
          <w:tcPr>
            <w:tcW w:w="2965" w:type="dxa"/>
          </w:tcPr>
          <w:p w14:paraId="2529281B" w14:textId="446A63EC" w:rsidR="00502770" w:rsidRDefault="00E8086A" w:rsidP="002E77BD">
            <w:pPr>
              <w:pStyle w:val="BodyTextafterheading"/>
              <w:cnfStyle w:val="000000010000" w:firstRow="0" w:lastRow="0" w:firstColumn="0" w:lastColumn="0" w:oddVBand="0" w:evenVBand="0" w:oddHBand="0" w:evenHBand="1" w:firstRowFirstColumn="0" w:firstRowLastColumn="0" w:lastRowFirstColumn="0" w:lastRowLastColumn="0"/>
            </w:pPr>
            <w:r>
              <w:t>0%</w:t>
            </w:r>
          </w:p>
        </w:tc>
      </w:tr>
    </w:tbl>
    <w:p w14:paraId="12A5D067" w14:textId="33EE61DB" w:rsidR="002E77BD" w:rsidRPr="00F976EC" w:rsidRDefault="000967CA" w:rsidP="00E60FF3">
      <w:pPr>
        <w:pStyle w:val="BodyTextafterheading"/>
        <w:spacing w:after="0"/>
        <w:rPr>
          <w:rStyle w:val="Strong"/>
        </w:rPr>
      </w:pPr>
      <w:r>
        <w:rPr>
          <w:rStyle w:val="Strong"/>
        </w:rPr>
        <w:br/>
      </w:r>
      <w:r w:rsidR="00297272" w:rsidRPr="00F976EC">
        <w:rPr>
          <w:rStyle w:val="Strong"/>
        </w:rPr>
        <w:t xml:space="preserve">Table </w:t>
      </w:r>
      <w:r w:rsidR="000E09DF">
        <w:rPr>
          <w:rStyle w:val="Strong"/>
        </w:rPr>
        <w:t>3</w:t>
      </w:r>
      <w:r w:rsidR="00297272" w:rsidRPr="00F976EC">
        <w:rPr>
          <w:rStyle w:val="Strong"/>
        </w:rPr>
        <w:t xml:space="preserve">: </w:t>
      </w:r>
      <w:r w:rsidR="004B2314">
        <w:rPr>
          <w:rStyle w:val="Strong"/>
        </w:rPr>
        <w:t xml:space="preserve">Service Capacity for </w:t>
      </w:r>
      <w:r w:rsidR="002E77BD" w:rsidRPr="00F976EC">
        <w:rPr>
          <w:rStyle w:val="Strong"/>
        </w:rPr>
        <w:t>Child</w:t>
      </w:r>
      <w:r w:rsidR="008A4146">
        <w:rPr>
          <w:rStyle w:val="Strong"/>
        </w:rPr>
        <w:t xml:space="preserve">ren’s Community Mental Health </w:t>
      </w:r>
      <w:r w:rsidR="002E77BD" w:rsidRPr="00F976EC">
        <w:rPr>
          <w:rStyle w:val="Strong"/>
        </w:rPr>
        <w:t>Service</w:t>
      </w:r>
      <w:r w:rsidR="00297272" w:rsidRPr="00F976EC">
        <w:rPr>
          <w:rStyle w:val="Strong"/>
        </w:rPr>
        <w:t xml:space="preserve"> </w:t>
      </w:r>
      <w:r w:rsidR="005D7531">
        <w:rPr>
          <w:rStyle w:val="Strong"/>
        </w:rPr>
        <w:t>LOC</w:t>
      </w:r>
      <w:r w:rsidR="004B2314">
        <w:rPr>
          <w:rStyle w:val="Strong"/>
        </w:rPr>
        <w:t>s</w:t>
      </w:r>
    </w:p>
    <w:tbl>
      <w:tblPr>
        <w:tblStyle w:val="HHSTableforTextData"/>
        <w:tblW w:w="0" w:type="auto"/>
        <w:tblLook w:val="04A0" w:firstRow="1" w:lastRow="0" w:firstColumn="1" w:lastColumn="0" w:noHBand="0" w:noVBand="1"/>
      </w:tblPr>
      <w:tblGrid>
        <w:gridCol w:w="1885"/>
        <w:gridCol w:w="2430"/>
        <w:gridCol w:w="2520"/>
        <w:gridCol w:w="2515"/>
      </w:tblGrid>
      <w:tr w:rsidR="00502770" w14:paraId="71BFA10A" w14:textId="77777777" w:rsidTr="00D37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676E6B60" w14:textId="68950794" w:rsidR="00502770" w:rsidRDefault="005D7531" w:rsidP="004B2314">
            <w:pPr>
              <w:pStyle w:val="BodyTextafterheading"/>
            </w:pPr>
            <w:r>
              <w:t>LOC</w:t>
            </w:r>
          </w:p>
        </w:tc>
        <w:tc>
          <w:tcPr>
            <w:tcW w:w="2430" w:type="dxa"/>
            <w:vAlign w:val="center"/>
          </w:tcPr>
          <w:p w14:paraId="121A28E8" w14:textId="77777777" w:rsidR="00502770" w:rsidRDefault="00502770" w:rsidP="004B2314">
            <w:pPr>
              <w:pStyle w:val="BodyTextafterheading"/>
              <w:cnfStyle w:val="100000000000" w:firstRow="1" w:lastRow="0" w:firstColumn="0" w:lastColumn="0" w:oddVBand="0" w:evenVBand="0" w:oddHBand="0" w:evenHBand="0" w:firstRowFirstColumn="0" w:firstRowLastColumn="0" w:lastRowFirstColumn="0" w:lastRowLastColumn="0"/>
            </w:pPr>
            <w:r>
              <w:t>Most recent service capacity (non-Medicaid only)</w:t>
            </w:r>
          </w:p>
        </w:tc>
        <w:tc>
          <w:tcPr>
            <w:tcW w:w="2520" w:type="dxa"/>
            <w:vAlign w:val="center"/>
          </w:tcPr>
          <w:p w14:paraId="109FF665" w14:textId="169B5DB2" w:rsidR="00502770" w:rsidRDefault="00502770" w:rsidP="004B2314">
            <w:pPr>
              <w:pStyle w:val="BodyTextafterheading"/>
              <w:cnfStyle w:val="100000000000" w:firstRow="1" w:lastRow="0" w:firstColumn="0" w:lastColumn="0" w:oddVBand="0" w:evenVBand="0" w:oddHBand="0" w:evenHBand="0" w:firstRowFirstColumn="0" w:firstRowLastColumn="0" w:lastRowFirstColumn="0" w:lastRowLastColumn="0"/>
            </w:pPr>
            <w:r>
              <w:t xml:space="preserve">Estimated FY </w:t>
            </w:r>
            <w:r w:rsidR="00297272">
              <w:t>2025</w:t>
            </w:r>
            <w:r>
              <w:t xml:space="preserve"> service capacity (non-Medicaid only)</w:t>
            </w:r>
          </w:p>
        </w:tc>
        <w:tc>
          <w:tcPr>
            <w:tcW w:w="2515" w:type="dxa"/>
            <w:vAlign w:val="center"/>
          </w:tcPr>
          <w:p w14:paraId="46A2E1DC" w14:textId="0D331BF3" w:rsidR="00502770" w:rsidRDefault="00720A88" w:rsidP="004B2314">
            <w:pPr>
              <w:pStyle w:val="BodyTextafterheading"/>
              <w:cnfStyle w:val="100000000000" w:firstRow="1" w:lastRow="0" w:firstColumn="0" w:lastColumn="0" w:oddVBand="0" w:evenVBand="0" w:oddHBand="0" w:evenHBand="0" w:firstRowFirstColumn="0" w:firstRowLastColumn="0" w:lastRowFirstColumn="0" w:lastRowLastColumn="0"/>
            </w:pPr>
            <w:r>
              <w:t xml:space="preserve">% </w:t>
            </w:r>
            <w:r w:rsidR="00502770">
              <w:t xml:space="preserve">total non-Medicaid capacity provided by external providers in FY </w:t>
            </w:r>
            <w:r w:rsidR="00297272">
              <w:t>2025</w:t>
            </w:r>
          </w:p>
        </w:tc>
      </w:tr>
      <w:tr w:rsidR="00502770" w14:paraId="0C130A1E"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0A8B07F0" w14:textId="064D0D3F" w:rsidR="00502770" w:rsidRDefault="00502770">
            <w:pPr>
              <w:pStyle w:val="BodyTextafterheading"/>
            </w:pPr>
            <w:r>
              <w:t>Children’s LOC 1</w:t>
            </w:r>
          </w:p>
        </w:tc>
        <w:tc>
          <w:tcPr>
            <w:tcW w:w="2430" w:type="dxa"/>
          </w:tcPr>
          <w:p w14:paraId="12BC2AA7" w14:textId="6D232603" w:rsidR="00502770" w:rsidRDefault="00634DBB">
            <w:pPr>
              <w:pStyle w:val="BodyTextafterheading"/>
              <w:cnfStyle w:val="000000100000" w:firstRow="0" w:lastRow="0" w:firstColumn="0" w:lastColumn="0" w:oddVBand="0" w:evenVBand="0" w:oddHBand="1" w:evenHBand="0" w:firstRowFirstColumn="0" w:firstRowLastColumn="0" w:lastRowFirstColumn="0" w:lastRowLastColumn="0"/>
            </w:pPr>
            <w:r>
              <w:t>27</w:t>
            </w:r>
          </w:p>
        </w:tc>
        <w:tc>
          <w:tcPr>
            <w:tcW w:w="2520" w:type="dxa"/>
          </w:tcPr>
          <w:p w14:paraId="57BCFF70" w14:textId="0DBC5182" w:rsidR="00502770" w:rsidRDefault="00E8086A">
            <w:pPr>
              <w:pStyle w:val="BodyTextafterheading"/>
              <w:cnfStyle w:val="000000100000" w:firstRow="0" w:lastRow="0" w:firstColumn="0" w:lastColumn="0" w:oddVBand="0" w:evenVBand="0" w:oddHBand="1" w:evenHBand="0" w:firstRowFirstColumn="0" w:firstRowLastColumn="0" w:lastRowFirstColumn="0" w:lastRowLastColumn="0"/>
            </w:pPr>
            <w:r>
              <w:t>27</w:t>
            </w:r>
          </w:p>
        </w:tc>
        <w:tc>
          <w:tcPr>
            <w:tcW w:w="2515" w:type="dxa"/>
          </w:tcPr>
          <w:p w14:paraId="08A0636D" w14:textId="00D685B2" w:rsidR="00502770" w:rsidRDefault="00E8086A">
            <w:pPr>
              <w:pStyle w:val="BodyTextafterheading"/>
              <w:cnfStyle w:val="000000100000" w:firstRow="0" w:lastRow="0" w:firstColumn="0" w:lastColumn="0" w:oddVBand="0" w:evenVBand="0" w:oddHBand="1" w:evenHBand="0" w:firstRowFirstColumn="0" w:firstRowLastColumn="0" w:lastRowFirstColumn="0" w:lastRowLastColumn="0"/>
            </w:pPr>
            <w:r>
              <w:t>O%</w:t>
            </w:r>
          </w:p>
        </w:tc>
      </w:tr>
      <w:tr w:rsidR="00502770" w14:paraId="4477BFCD"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5177D93E" w14:textId="1E44771C" w:rsidR="00502770" w:rsidRDefault="00502770">
            <w:pPr>
              <w:pStyle w:val="BodyTextafterheading"/>
            </w:pPr>
            <w:r>
              <w:t>Children’s LOC 2</w:t>
            </w:r>
          </w:p>
        </w:tc>
        <w:tc>
          <w:tcPr>
            <w:tcW w:w="2430" w:type="dxa"/>
          </w:tcPr>
          <w:p w14:paraId="7DD61023" w14:textId="6BFA262F" w:rsidR="00502770" w:rsidRDefault="00634DBB">
            <w:pPr>
              <w:pStyle w:val="BodyTextafterheading"/>
              <w:cnfStyle w:val="000000010000" w:firstRow="0" w:lastRow="0" w:firstColumn="0" w:lastColumn="0" w:oddVBand="0" w:evenVBand="0" w:oddHBand="0" w:evenHBand="1" w:firstRowFirstColumn="0" w:firstRowLastColumn="0" w:lastRowFirstColumn="0" w:lastRowLastColumn="0"/>
            </w:pPr>
            <w:r>
              <w:t>58</w:t>
            </w:r>
          </w:p>
        </w:tc>
        <w:tc>
          <w:tcPr>
            <w:tcW w:w="2520" w:type="dxa"/>
          </w:tcPr>
          <w:p w14:paraId="18360F25" w14:textId="774EBBC6" w:rsidR="00502770" w:rsidRDefault="00E8086A">
            <w:pPr>
              <w:pStyle w:val="BodyTextafterheading"/>
              <w:cnfStyle w:val="000000010000" w:firstRow="0" w:lastRow="0" w:firstColumn="0" w:lastColumn="0" w:oddVBand="0" w:evenVBand="0" w:oddHBand="0" w:evenHBand="1" w:firstRowFirstColumn="0" w:firstRowLastColumn="0" w:lastRowFirstColumn="0" w:lastRowLastColumn="0"/>
            </w:pPr>
            <w:r>
              <w:t>58</w:t>
            </w:r>
          </w:p>
        </w:tc>
        <w:tc>
          <w:tcPr>
            <w:tcW w:w="2515" w:type="dxa"/>
          </w:tcPr>
          <w:p w14:paraId="6CEFBECD" w14:textId="20002447" w:rsidR="00502770" w:rsidRDefault="00E8086A">
            <w:pPr>
              <w:pStyle w:val="BodyTextafterheading"/>
              <w:cnfStyle w:val="000000010000" w:firstRow="0" w:lastRow="0" w:firstColumn="0" w:lastColumn="0" w:oddVBand="0" w:evenVBand="0" w:oddHBand="0" w:evenHBand="1" w:firstRowFirstColumn="0" w:firstRowLastColumn="0" w:lastRowFirstColumn="0" w:lastRowLastColumn="0"/>
            </w:pPr>
            <w:r>
              <w:t>0%</w:t>
            </w:r>
          </w:p>
        </w:tc>
      </w:tr>
      <w:tr w:rsidR="00502770" w14:paraId="02142181"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4105E2BB" w14:textId="061419F5" w:rsidR="00502770" w:rsidRDefault="00502770">
            <w:pPr>
              <w:pStyle w:val="BodyTextafterheading"/>
            </w:pPr>
            <w:r>
              <w:t>Children’s LOC 3</w:t>
            </w:r>
          </w:p>
        </w:tc>
        <w:tc>
          <w:tcPr>
            <w:tcW w:w="2430" w:type="dxa"/>
          </w:tcPr>
          <w:p w14:paraId="19D7EFCF" w14:textId="78094229" w:rsidR="00502770" w:rsidRDefault="00634DBB">
            <w:pPr>
              <w:pStyle w:val="BodyTextafterheading"/>
              <w:cnfStyle w:val="000000100000" w:firstRow="0" w:lastRow="0" w:firstColumn="0" w:lastColumn="0" w:oddVBand="0" w:evenVBand="0" w:oddHBand="1" w:evenHBand="0" w:firstRowFirstColumn="0" w:firstRowLastColumn="0" w:lastRowFirstColumn="0" w:lastRowLastColumn="0"/>
            </w:pPr>
            <w:r>
              <w:t>13</w:t>
            </w:r>
          </w:p>
        </w:tc>
        <w:tc>
          <w:tcPr>
            <w:tcW w:w="2520" w:type="dxa"/>
          </w:tcPr>
          <w:p w14:paraId="0C17A3CE" w14:textId="2641CEA0" w:rsidR="00502770" w:rsidRDefault="00E8086A">
            <w:pPr>
              <w:pStyle w:val="BodyTextafterheading"/>
              <w:cnfStyle w:val="000000100000" w:firstRow="0" w:lastRow="0" w:firstColumn="0" w:lastColumn="0" w:oddVBand="0" w:evenVBand="0" w:oddHBand="1" w:evenHBand="0" w:firstRowFirstColumn="0" w:firstRowLastColumn="0" w:lastRowFirstColumn="0" w:lastRowLastColumn="0"/>
            </w:pPr>
            <w:r>
              <w:t>13</w:t>
            </w:r>
          </w:p>
        </w:tc>
        <w:tc>
          <w:tcPr>
            <w:tcW w:w="2515" w:type="dxa"/>
          </w:tcPr>
          <w:p w14:paraId="01F3D3E1" w14:textId="3CF9192F" w:rsidR="00502770" w:rsidRDefault="00E8086A">
            <w:pPr>
              <w:pStyle w:val="BodyTextafterheading"/>
              <w:cnfStyle w:val="000000100000" w:firstRow="0" w:lastRow="0" w:firstColumn="0" w:lastColumn="0" w:oddVBand="0" w:evenVBand="0" w:oddHBand="1" w:evenHBand="0" w:firstRowFirstColumn="0" w:firstRowLastColumn="0" w:lastRowFirstColumn="0" w:lastRowLastColumn="0"/>
            </w:pPr>
            <w:r>
              <w:t>0%</w:t>
            </w:r>
          </w:p>
        </w:tc>
      </w:tr>
      <w:tr w:rsidR="00502770" w14:paraId="08D2BC39"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5955FF45" w14:textId="7766148E" w:rsidR="00502770" w:rsidRDefault="00502770">
            <w:pPr>
              <w:pStyle w:val="BodyTextafterheading"/>
            </w:pPr>
            <w:r>
              <w:t>Children’s LOC 4</w:t>
            </w:r>
          </w:p>
        </w:tc>
        <w:tc>
          <w:tcPr>
            <w:tcW w:w="2430" w:type="dxa"/>
          </w:tcPr>
          <w:p w14:paraId="532EEDC0" w14:textId="5B18BE75" w:rsidR="00502770" w:rsidRDefault="00634DBB">
            <w:pPr>
              <w:pStyle w:val="BodyTextafterheading"/>
              <w:cnfStyle w:val="000000010000" w:firstRow="0" w:lastRow="0" w:firstColumn="0" w:lastColumn="0" w:oddVBand="0" w:evenVBand="0" w:oddHBand="0" w:evenHBand="1" w:firstRowFirstColumn="0" w:firstRowLastColumn="0" w:lastRowFirstColumn="0" w:lastRowLastColumn="0"/>
            </w:pPr>
            <w:r>
              <w:t>1</w:t>
            </w:r>
          </w:p>
        </w:tc>
        <w:tc>
          <w:tcPr>
            <w:tcW w:w="2520" w:type="dxa"/>
          </w:tcPr>
          <w:p w14:paraId="4A63C254" w14:textId="5F4F8005" w:rsidR="00502770" w:rsidRDefault="00634DBB">
            <w:pPr>
              <w:pStyle w:val="BodyTextafterheading"/>
              <w:cnfStyle w:val="000000010000" w:firstRow="0" w:lastRow="0" w:firstColumn="0" w:lastColumn="0" w:oddVBand="0" w:evenVBand="0" w:oddHBand="0" w:evenHBand="1" w:firstRowFirstColumn="0" w:firstRowLastColumn="0" w:lastRowFirstColumn="0" w:lastRowLastColumn="0"/>
            </w:pPr>
            <w:r>
              <w:t>1</w:t>
            </w:r>
          </w:p>
        </w:tc>
        <w:tc>
          <w:tcPr>
            <w:tcW w:w="2515" w:type="dxa"/>
          </w:tcPr>
          <w:p w14:paraId="7022F9B6" w14:textId="3DBA7EF1" w:rsidR="00502770" w:rsidRDefault="00E8086A">
            <w:pPr>
              <w:pStyle w:val="BodyTextafterheading"/>
              <w:cnfStyle w:val="000000010000" w:firstRow="0" w:lastRow="0" w:firstColumn="0" w:lastColumn="0" w:oddVBand="0" w:evenVBand="0" w:oddHBand="0" w:evenHBand="1" w:firstRowFirstColumn="0" w:firstRowLastColumn="0" w:lastRowFirstColumn="0" w:lastRowLastColumn="0"/>
            </w:pPr>
            <w:r>
              <w:t>0%</w:t>
            </w:r>
          </w:p>
        </w:tc>
      </w:tr>
      <w:tr w:rsidR="00502770" w14:paraId="592B922A"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178B88FD" w14:textId="56147CBE" w:rsidR="00502770" w:rsidRDefault="00502770">
            <w:pPr>
              <w:pStyle w:val="BodyTextafterheading"/>
            </w:pPr>
            <w:r>
              <w:t>Children’s LOC</w:t>
            </w:r>
            <w:r w:rsidR="004B2314">
              <w:t xml:space="preserve"> </w:t>
            </w:r>
            <w:r>
              <w:t>YC</w:t>
            </w:r>
          </w:p>
        </w:tc>
        <w:tc>
          <w:tcPr>
            <w:tcW w:w="2430" w:type="dxa"/>
          </w:tcPr>
          <w:p w14:paraId="5F1300D0" w14:textId="07EF20C7" w:rsidR="00502770" w:rsidRDefault="00634DBB">
            <w:pPr>
              <w:pStyle w:val="BodyTextafterheading"/>
              <w:cnfStyle w:val="000000100000" w:firstRow="0" w:lastRow="0" w:firstColumn="0" w:lastColumn="0" w:oddVBand="0" w:evenVBand="0" w:oddHBand="1" w:evenHBand="0" w:firstRowFirstColumn="0" w:firstRowLastColumn="0" w:lastRowFirstColumn="0" w:lastRowLastColumn="0"/>
            </w:pPr>
            <w:r>
              <w:t>2</w:t>
            </w:r>
          </w:p>
        </w:tc>
        <w:tc>
          <w:tcPr>
            <w:tcW w:w="2520" w:type="dxa"/>
          </w:tcPr>
          <w:p w14:paraId="77132086" w14:textId="667E93F8" w:rsidR="00502770" w:rsidRDefault="00E8086A">
            <w:pPr>
              <w:pStyle w:val="BodyTextafterheading"/>
              <w:cnfStyle w:val="000000100000" w:firstRow="0" w:lastRow="0" w:firstColumn="0" w:lastColumn="0" w:oddVBand="0" w:evenVBand="0" w:oddHBand="1" w:evenHBand="0" w:firstRowFirstColumn="0" w:firstRowLastColumn="0" w:lastRowFirstColumn="0" w:lastRowLastColumn="0"/>
            </w:pPr>
            <w:r>
              <w:t>2</w:t>
            </w:r>
          </w:p>
        </w:tc>
        <w:tc>
          <w:tcPr>
            <w:tcW w:w="2515" w:type="dxa"/>
          </w:tcPr>
          <w:p w14:paraId="33D3A346" w14:textId="0200E123" w:rsidR="00502770" w:rsidRDefault="00E8086A">
            <w:pPr>
              <w:pStyle w:val="BodyTextafterheading"/>
              <w:cnfStyle w:val="000000100000" w:firstRow="0" w:lastRow="0" w:firstColumn="0" w:lastColumn="0" w:oddVBand="0" w:evenVBand="0" w:oddHBand="1" w:evenHBand="0" w:firstRowFirstColumn="0" w:firstRowLastColumn="0" w:lastRowFirstColumn="0" w:lastRowLastColumn="0"/>
            </w:pPr>
            <w:r>
              <w:t>0%</w:t>
            </w:r>
          </w:p>
        </w:tc>
      </w:tr>
      <w:tr w:rsidR="00502770" w14:paraId="421B57E9"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77933803" w14:textId="2520A9E0" w:rsidR="00502770" w:rsidRDefault="00502770">
            <w:pPr>
              <w:pStyle w:val="BodyTextafterheading"/>
            </w:pPr>
            <w:r>
              <w:t>Children’s LOC 5</w:t>
            </w:r>
          </w:p>
        </w:tc>
        <w:tc>
          <w:tcPr>
            <w:tcW w:w="2430" w:type="dxa"/>
          </w:tcPr>
          <w:p w14:paraId="65D8B45D" w14:textId="6EFA0564" w:rsidR="00502770" w:rsidRDefault="00634DBB">
            <w:pPr>
              <w:pStyle w:val="BodyTextafterheading"/>
              <w:cnfStyle w:val="000000010000" w:firstRow="0" w:lastRow="0" w:firstColumn="0" w:lastColumn="0" w:oddVBand="0" w:evenVBand="0" w:oddHBand="0" w:evenHBand="1" w:firstRowFirstColumn="0" w:firstRowLastColumn="0" w:lastRowFirstColumn="0" w:lastRowLastColumn="0"/>
            </w:pPr>
            <w:r>
              <w:t>0</w:t>
            </w:r>
          </w:p>
        </w:tc>
        <w:tc>
          <w:tcPr>
            <w:tcW w:w="2520" w:type="dxa"/>
          </w:tcPr>
          <w:p w14:paraId="458C3591" w14:textId="76C9B6AE" w:rsidR="00502770" w:rsidRDefault="00E8086A">
            <w:pPr>
              <w:pStyle w:val="BodyTextafterheading"/>
              <w:cnfStyle w:val="000000010000" w:firstRow="0" w:lastRow="0" w:firstColumn="0" w:lastColumn="0" w:oddVBand="0" w:evenVBand="0" w:oddHBand="0" w:evenHBand="1" w:firstRowFirstColumn="0" w:firstRowLastColumn="0" w:lastRowFirstColumn="0" w:lastRowLastColumn="0"/>
            </w:pPr>
            <w:r>
              <w:t>0</w:t>
            </w:r>
          </w:p>
        </w:tc>
        <w:tc>
          <w:tcPr>
            <w:tcW w:w="2515" w:type="dxa"/>
          </w:tcPr>
          <w:p w14:paraId="2EEFD717" w14:textId="3E96BB7E" w:rsidR="00502770" w:rsidRDefault="00E8086A">
            <w:pPr>
              <w:pStyle w:val="BodyTextafterheading"/>
              <w:cnfStyle w:val="000000010000" w:firstRow="0" w:lastRow="0" w:firstColumn="0" w:lastColumn="0" w:oddVBand="0" w:evenVBand="0" w:oddHBand="0" w:evenHBand="1" w:firstRowFirstColumn="0" w:firstRowLastColumn="0" w:lastRowFirstColumn="0" w:lastRowLastColumn="0"/>
            </w:pPr>
            <w:r>
              <w:t>0%</w:t>
            </w:r>
          </w:p>
        </w:tc>
      </w:tr>
    </w:tbl>
    <w:p w14:paraId="13B73F9D" w14:textId="7ED9E442" w:rsidR="002E77BD" w:rsidRPr="00F976EC" w:rsidRDefault="000967CA" w:rsidP="00E60FF3">
      <w:pPr>
        <w:pStyle w:val="BodyTextafterheading"/>
        <w:spacing w:after="0"/>
        <w:rPr>
          <w:rStyle w:val="Strong"/>
        </w:rPr>
      </w:pPr>
      <w:r>
        <w:rPr>
          <w:rStyle w:val="Strong"/>
        </w:rPr>
        <w:br/>
      </w:r>
      <w:r w:rsidR="0024161A" w:rsidRPr="00F976EC">
        <w:rPr>
          <w:rStyle w:val="Strong"/>
        </w:rPr>
        <w:t xml:space="preserve">Table </w:t>
      </w:r>
      <w:r w:rsidR="000E09DF">
        <w:rPr>
          <w:rStyle w:val="Strong"/>
        </w:rPr>
        <w:t>4</w:t>
      </w:r>
      <w:r w:rsidR="0024161A" w:rsidRPr="00F976EC">
        <w:rPr>
          <w:rStyle w:val="Strong"/>
        </w:rPr>
        <w:t xml:space="preserve">: </w:t>
      </w:r>
      <w:r w:rsidR="004B2314">
        <w:rPr>
          <w:rStyle w:val="Strong"/>
        </w:rPr>
        <w:t xml:space="preserve">Service Capacity for </w:t>
      </w:r>
      <w:r w:rsidR="0024161A" w:rsidRPr="00F976EC">
        <w:rPr>
          <w:rStyle w:val="Strong"/>
        </w:rPr>
        <w:t xml:space="preserve">Crisis Services </w:t>
      </w:r>
    </w:p>
    <w:tbl>
      <w:tblPr>
        <w:tblStyle w:val="HHSTableforTextData"/>
        <w:tblW w:w="0" w:type="auto"/>
        <w:tblLook w:val="04A0" w:firstRow="1" w:lastRow="0" w:firstColumn="1" w:lastColumn="0" w:noHBand="0" w:noVBand="1"/>
      </w:tblPr>
      <w:tblGrid>
        <w:gridCol w:w="2728"/>
        <w:gridCol w:w="2196"/>
        <w:gridCol w:w="2216"/>
        <w:gridCol w:w="2210"/>
      </w:tblGrid>
      <w:tr w:rsidR="00EF73F5" w14:paraId="2D8E971C" w14:textId="77777777" w:rsidTr="00D37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vAlign w:val="center"/>
          </w:tcPr>
          <w:p w14:paraId="4A326593" w14:textId="292FF67A" w:rsidR="00EF73F5" w:rsidRDefault="0024161A" w:rsidP="004B2314">
            <w:pPr>
              <w:pStyle w:val="BodyTextafterheading"/>
            </w:pPr>
            <w:r>
              <w:t>Crisis Service</w:t>
            </w:r>
          </w:p>
        </w:tc>
        <w:tc>
          <w:tcPr>
            <w:tcW w:w="2196" w:type="dxa"/>
            <w:vAlign w:val="center"/>
          </w:tcPr>
          <w:p w14:paraId="0A6F983D" w14:textId="793534B0" w:rsidR="00EF73F5" w:rsidRDefault="0034665D" w:rsidP="004B2314">
            <w:pPr>
              <w:pStyle w:val="BodyTextafterheading"/>
              <w:cnfStyle w:val="100000000000" w:firstRow="1" w:lastRow="0" w:firstColumn="0" w:lastColumn="0" w:oddVBand="0" w:evenVBand="0" w:oddHBand="0" w:evenHBand="0" w:firstRowFirstColumn="0" w:firstRowLastColumn="0" w:lastRowFirstColumn="0" w:lastRowLastColumn="0"/>
            </w:pPr>
            <w:r>
              <w:t xml:space="preserve">FY </w:t>
            </w:r>
            <w:r w:rsidR="00226255">
              <w:t>2024</w:t>
            </w:r>
            <w:r>
              <w:t xml:space="preserve"> service capacity</w:t>
            </w:r>
          </w:p>
        </w:tc>
        <w:tc>
          <w:tcPr>
            <w:tcW w:w="2216" w:type="dxa"/>
            <w:vAlign w:val="center"/>
          </w:tcPr>
          <w:p w14:paraId="76301BD9" w14:textId="0D60A020" w:rsidR="00EF73F5" w:rsidRDefault="0034665D" w:rsidP="004B2314">
            <w:pPr>
              <w:pStyle w:val="BodyTextafterheading"/>
              <w:cnfStyle w:val="100000000000" w:firstRow="1" w:lastRow="0" w:firstColumn="0" w:lastColumn="0" w:oddVBand="0" w:evenVBand="0" w:oddHBand="0" w:evenHBand="0" w:firstRowFirstColumn="0" w:firstRowLastColumn="0" w:lastRowFirstColumn="0" w:lastRowLastColumn="0"/>
            </w:pPr>
            <w:r>
              <w:t xml:space="preserve">Estimated FY </w:t>
            </w:r>
            <w:r w:rsidR="00226255">
              <w:t>2025</w:t>
            </w:r>
            <w:r>
              <w:t xml:space="preserve"> service capacity</w:t>
            </w:r>
          </w:p>
        </w:tc>
        <w:tc>
          <w:tcPr>
            <w:tcW w:w="2210" w:type="dxa"/>
            <w:vAlign w:val="center"/>
          </w:tcPr>
          <w:p w14:paraId="2EA93CCF" w14:textId="2AC75563" w:rsidR="00EF73F5" w:rsidRDefault="00720A88" w:rsidP="004B2314">
            <w:pPr>
              <w:pStyle w:val="BodyTextafterheading"/>
              <w:cnfStyle w:val="100000000000" w:firstRow="1" w:lastRow="0" w:firstColumn="0" w:lastColumn="0" w:oddVBand="0" w:evenVBand="0" w:oddHBand="0" w:evenHBand="0" w:firstRowFirstColumn="0" w:firstRowLastColumn="0" w:lastRowFirstColumn="0" w:lastRowLastColumn="0"/>
            </w:pPr>
            <w:r>
              <w:t xml:space="preserve">% </w:t>
            </w:r>
            <w:r w:rsidR="0034665D">
              <w:t>total capacity provided by external providers in FY 2</w:t>
            </w:r>
            <w:r w:rsidR="00F509A0">
              <w:t>024</w:t>
            </w:r>
          </w:p>
        </w:tc>
      </w:tr>
      <w:tr w:rsidR="00EF73F5" w14:paraId="60962026"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5247D2B4" w14:textId="5EAB7182" w:rsidR="00EF73F5" w:rsidRDefault="0024161A" w:rsidP="002E77BD">
            <w:pPr>
              <w:pStyle w:val="BodyTextafterheading"/>
            </w:pPr>
            <w:r>
              <w:t xml:space="preserve">Crisis </w:t>
            </w:r>
            <w:r w:rsidR="00187A0A">
              <w:t>H</w:t>
            </w:r>
            <w:r>
              <w:t>otline</w:t>
            </w:r>
          </w:p>
        </w:tc>
        <w:tc>
          <w:tcPr>
            <w:tcW w:w="2196" w:type="dxa"/>
          </w:tcPr>
          <w:p w14:paraId="286B32D0" w14:textId="3E9873F2" w:rsidR="00EF73F5" w:rsidRDefault="00E8086A" w:rsidP="002E77BD">
            <w:pPr>
              <w:pStyle w:val="BodyTextafterheading"/>
              <w:cnfStyle w:val="000000100000" w:firstRow="0" w:lastRow="0" w:firstColumn="0" w:lastColumn="0" w:oddVBand="0" w:evenVBand="0" w:oddHBand="1" w:evenHBand="0" w:firstRowFirstColumn="0" w:firstRowLastColumn="0" w:lastRowFirstColumn="0" w:lastRowLastColumn="0"/>
            </w:pPr>
            <w:r>
              <w:t>5195</w:t>
            </w:r>
          </w:p>
        </w:tc>
        <w:tc>
          <w:tcPr>
            <w:tcW w:w="2216" w:type="dxa"/>
          </w:tcPr>
          <w:p w14:paraId="33890CDC" w14:textId="61886763" w:rsidR="00EF73F5" w:rsidRDefault="00E8086A" w:rsidP="002E77BD">
            <w:pPr>
              <w:pStyle w:val="BodyTextafterheading"/>
              <w:cnfStyle w:val="000000100000" w:firstRow="0" w:lastRow="0" w:firstColumn="0" w:lastColumn="0" w:oddVBand="0" w:evenVBand="0" w:oddHBand="1" w:evenHBand="0" w:firstRowFirstColumn="0" w:firstRowLastColumn="0" w:lastRowFirstColumn="0" w:lastRowLastColumn="0"/>
            </w:pPr>
            <w:r>
              <w:t>5195</w:t>
            </w:r>
          </w:p>
        </w:tc>
        <w:tc>
          <w:tcPr>
            <w:tcW w:w="2210" w:type="dxa"/>
          </w:tcPr>
          <w:p w14:paraId="2BBF2FB6" w14:textId="36CAED9B" w:rsidR="00EF73F5" w:rsidRDefault="00E8086A" w:rsidP="002E77BD">
            <w:pPr>
              <w:pStyle w:val="BodyTextafterheading"/>
              <w:cnfStyle w:val="000000100000" w:firstRow="0" w:lastRow="0" w:firstColumn="0" w:lastColumn="0" w:oddVBand="0" w:evenVBand="0" w:oddHBand="1" w:evenHBand="0" w:firstRowFirstColumn="0" w:firstRowLastColumn="0" w:lastRowFirstColumn="0" w:lastRowLastColumn="0"/>
            </w:pPr>
            <w:r>
              <w:t>100%</w:t>
            </w:r>
          </w:p>
        </w:tc>
      </w:tr>
      <w:tr w:rsidR="00EF73F5" w14:paraId="4DA44816"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7A5C3322" w14:textId="7C355B48" w:rsidR="00EF73F5" w:rsidRDefault="0024161A" w:rsidP="002E77BD">
            <w:pPr>
              <w:pStyle w:val="BodyTextafterheading"/>
            </w:pPr>
            <w:r>
              <w:t xml:space="preserve">Mobile </w:t>
            </w:r>
            <w:r w:rsidR="00187A0A">
              <w:t>C</w:t>
            </w:r>
            <w:r>
              <w:t xml:space="preserve">risis </w:t>
            </w:r>
            <w:r w:rsidR="00187A0A">
              <w:t>O</w:t>
            </w:r>
            <w:r>
              <w:t xml:space="preserve">utreach </w:t>
            </w:r>
            <w:r w:rsidR="00187A0A">
              <w:t>T</w:t>
            </w:r>
            <w:r>
              <w:t>eam</w:t>
            </w:r>
            <w:r w:rsidR="00187A0A">
              <w:t>s</w:t>
            </w:r>
            <w:r w:rsidR="00076361">
              <w:t xml:space="preserve"> </w:t>
            </w:r>
          </w:p>
        </w:tc>
        <w:tc>
          <w:tcPr>
            <w:tcW w:w="2196" w:type="dxa"/>
          </w:tcPr>
          <w:p w14:paraId="3E229DAE" w14:textId="2A43C242" w:rsidR="00EF73F5" w:rsidRDefault="00C13856" w:rsidP="002E77BD">
            <w:pPr>
              <w:pStyle w:val="BodyTextafterheading"/>
              <w:cnfStyle w:val="000000010000" w:firstRow="0" w:lastRow="0" w:firstColumn="0" w:lastColumn="0" w:oddVBand="0" w:evenVBand="0" w:oddHBand="0" w:evenHBand="1" w:firstRowFirstColumn="0" w:firstRowLastColumn="0" w:lastRowFirstColumn="0" w:lastRowLastColumn="0"/>
            </w:pPr>
            <w:r>
              <w:t>3190</w:t>
            </w:r>
          </w:p>
        </w:tc>
        <w:tc>
          <w:tcPr>
            <w:tcW w:w="2216" w:type="dxa"/>
          </w:tcPr>
          <w:p w14:paraId="5107FFA4" w14:textId="43F140BF" w:rsidR="00EF73F5" w:rsidRDefault="00C13856" w:rsidP="002E77BD">
            <w:pPr>
              <w:pStyle w:val="BodyTextafterheading"/>
              <w:cnfStyle w:val="000000010000" w:firstRow="0" w:lastRow="0" w:firstColumn="0" w:lastColumn="0" w:oddVBand="0" w:evenVBand="0" w:oddHBand="0" w:evenHBand="1" w:firstRowFirstColumn="0" w:firstRowLastColumn="0" w:lastRowFirstColumn="0" w:lastRowLastColumn="0"/>
            </w:pPr>
            <w:r>
              <w:t>3190</w:t>
            </w:r>
          </w:p>
        </w:tc>
        <w:tc>
          <w:tcPr>
            <w:tcW w:w="2210" w:type="dxa"/>
          </w:tcPr>
          <w:p w14:paraId="3AE711D7" w14:textId="4D2E2751" w:rsidR="00EF73F5" w:rsidRDefault="00C13856" w:rsidP="002E77BD">
            <w:pPr>
              <w:pStyle w:val="BodyTextafterheading"/>
              <w:cnfStyle w:val="000000010000" w:firstRow="0" w:lastRow="0" w:firstColumn="0" w:lastColumn="0" w:oddVBand="0" w:evenVBand="0" w:oddHBand="0" w:evenHBand="1" w:firstRowFirstColumn="0" w:firstRowLastColumn="0" w:lastRowFirstColumn="0" w:lastRowLastColumn="0"/>
            </w:pPr>
            <w:r>
              <w:t>0%</w:t>
            </w:r>
          </w:p>
        </w:tc>
      </w:tr>
      <w:tr w:rsidR="00187A0A" w14:paraId="04B20229"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7AD727CC" w14:textId="148FA42B" w:rsidR="00187A0A" w:rsidRDefault="00187A0A" w:rsidP="002E77BD">
            <w:pPr>
              <w:pStyle w:val="BodyTextafterheading"/>
            </w:pPr>
            <w:r w:rsidRPr="00A26AC0">
              <w:t>Community Mental Health Hospital Beds</w:t>
            </w:r>
          </w:p>
        </w:tc>
        <w:tc>
          <w:tcPr>
            <w:tcW w:w="2196" w:type="dxa"/>
          </w:tcPr>
          <w:p w14:paraId="2B1EB539" w14:textId="180114B4" w:rsidR="00187A0A" w:rsidRDefault="00A26AC0" w:rsidP="002E77BD">
            <w:pPr>
              <w:pStyle w:val="BodyTextafterheading"/>
              <w:cnfStyle w:val="000000100000" w:firstRow="0" w:lastRow="0" w:firstColumn="0" w:lastColumn="0" w:oddVBand="0" w:evenVBand="0" w:oddHBand="1" w:evenHBand="0" w:firstRowFirstColumn="0" w:firstRowLastColumn="0" w:lastRowFirstColumn="0" w:lastRowLastColumn="0"/>
            </w:pPr>
            <w:r>
              <w:t>10,950</w:t>
            </w:r>
          </w:p>
        </w:tc>
        <w:tc>
          <w:tcPr>
            <w:tcW w:w="2216" w:type="dxa"/>
          </w:tcPr>
          <w:p w14:paraId="541B05C7" w14:textId="1E662907" w:rsidR="00187A0A" w:rsidRDefault="00A26AC0" w:rsidP="002E77BD">
            <w:pPr>
              <w:pStyle w:val="BodyTextafterheading"/>
              <w:cnfStyle w:val="000000100000" w:firstRow="0" w:lastRow="0" w:firstColumn="0" w:lastColumn="0" w:oddVBand="0" w:evenVBand="0" w:oddHBand="1" w:evenHBand="0" w:firstRowFirstColumn="0" w:firstRowLastColumn="0" w:lastRowFirstColumn="0" w:lastRowLastColumn="0"/>
            </w:pPr>
            <w:r>
              <w:t>10,950</w:t>
            </w:r>
          </w:p>
        </w:tc>
        <w:tc>
          <w:tcPr>
            <w:tcW w:w="2210" w:type="dxa"/>
          </w:tcPr>
          <w:p w14:paraId="2BB9745E" w14:textId="2DE8C471" w:rsidR="00187A0A" w:rsidRDefault="00A26AC0" w:rsidP="002E77BD">
            <w:pPr>
              <w:pStyle w:val="BodyTextafterheading"/>
              <w:cnfStyle w:val="000000100000" w:firstRow="0" w:lastRow="0" w:firstColumn="0" w:lastColumn="0" w:oddVBand="0" w:evenVBand="0" w:oddHBand="1" w:evenHBand="0" w:firstRowFirstColumn="0" w:firstRowLastColumn="0" w:lastRowFirstColumn="0" w:lastRowLastColumn="0"/>
            </w:pPr>
            <w:r>
              <w:t>100%</w:t>
            </w:r>
          </w:p>
        </w:tc>
      </w:tr>
      <w:tr w:rsidR="00363A66" w14:paraId="5A08291E"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5811B89E" w14:textId="1506FC2C" w:rsidR="00363A66" w:rsidRDefault="00363A66" w:rsidP="002E77BD">
            <w:pPr>
              <w:pStyle w:val="BodyTextafterheading"/>
            </w:pPr>
            <w:r>
              <w:t>Contracted Psychiatric Beds</w:t>
            </w:r>
            <w:r w:rsidDel="00AF2500">
              <w:t xml:space="preserve"> (CPBs)</w:t>
            </w:r>
          </w:p>
        </w:tc>
        <w:tc>
          <w:tcPr>
            <w:tcW w:w="2196" w:type="dxa"/>
          </w:tcPr>
          <w:p w14:paraId="3AE462AF" w14:textId="14C3A1C1" w:rsidR="00363A66" w:rsidRDefault="007071B0" w:rsidP="002E77BD">
            <w:pPr>
              <w:pStyle w:val="BodyTextafterheading"/>
              <w:cnfStyle w:val="000000010000" w:firstRow="0" w:lastRow="0" w:firstColumn="0" w:lastColumn="0" w:oddVBand="0" w:evenVBand="0" w:oddHBand="0" w:evenHBand="1" w:firstRowFirstColumn="0" w:firstRowLastColumn="0" w:lastRowFirstColumn="0" w:lastRowLastColumn="0"/>
            </w:pPr>
            <w:r>
              <w:t>6442</w:t>
            </w:r>
          </w:p>
        </w:tc>
        <w:tc>
          <w:tcPr>
            <w:tcW w:w="2216" w:type="dxa"/>
          </w:tcPr>
          <w:p w14:paraId="66AAB2E2" w14:textId="3055859F" w:rsidR="00363A66" w:rsidRDefault="007071B0" w:rsidP="002E77BD">
            <w:pPr>
              <w:pStyle w:val="BodyTextafterheading"/>
              <w:cnfStyle w:val="000000010000" w:firstRow="0" w:lastRow="0" w:firstColumn="0" w:lastColumn="0" w:oddVBand="0" w:evenVBand="0" w:oddHBand="0" w:evenHBand="1" w:firstRowFirstColumn="0" w:firstRowLastColumn="0" w:lastRowFirstColumn="0" w:lastRowLastColumn="0"/>
            </w:pPr>
            <w:r>
              <w:t>6442</w:t>
            </w:r>
          </w:p>
        </w:tc>
        <w:tc>
          <w:tcPr>
            <w:tcW w:w="2210" w:type="dxa"/>
          </w:tcPr>
          <w:p w14:paraId="3D9D63BD" w14:textId="6CCA3E23" w:rsidR="00363A66" w:rsidRDefault="007071B0" w:rsidP="002E77BD">
            <w:pPr>
              <w:pStyle w:val="BodyTextafterheading"/>
              <w:cnfStyle w:val="000000010000" w:firstRow="0" w:lastRow="0" w:firstColumn="0" w:lastColumn="0" w:oddVBand="0" w:evenVBand="0" w:oddHBand="0" w:evenHBand="1" w:firstRowFirstColumn="0" w:firstRowLastColumn="0" w:lastRowFirstColumn="0" w:lastRowLastColumn="0"/>
            </w:pPr>
            <w:r>
              <w:t>100%</w:t>
            </w:r>
          </w:p>
        </w:tc>
      </w:tr>
      <w:tr w:rsidR="00363A66" w14:paraId="07CDDAC8"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46566A60" w14:textId="0A2C0220" w:rsidR="00363A66" w:rsidRDefault="00363A66" w:rsidP="002E77BD">
            <w:pPr>
              <w:pStyle w:val="BodyTextafterheading"/>
            </w:pPr>
            <w:r>
              <w:t>Crisis Respite Units</w:t>
            </w:r>
            <w:r w:rsidDel="00AF2500">
              <w:t xml:space="preserve"> (CRUs)</w:t>
            </w:r>
          </w:p>
        </w:tc>
        <w:tc>
          <w:tcPr>
            <w:tcW w:w="2196" w:type="dxa"/>
          </w:tcPr>
          <w:p w14:paraId="7C3BB20C" w14:textId="472AF49B" w:rsidR="00363A66" w:rsidRDefault="002F379F" w:rsidP="002E77BD">
            <w:pPr>
              <w:pStyle w:val="BodyTextafterheading"/>
              <w:cnfStyle w:val="000000100000" w:firstRow="0" w:lastRow="0" w:firstColumn="0" w:lastColumn="0" w:oddVBand="0" w:evenVBand="0" w:oddHBand="1" w:evenHBand="0" w:firstRowFirstColumn="0" w:firstRowLastColumn="0" w:lastRowFirstColumn="0" w:lastRowLastColumn="0"/>
            </w:pPr>
            <w:r>
              <w:t>1163</w:t>
            </w:r>
          </w:p>
        </w:tc>
        <w:tc>
          <w:tcPr>
            <w:tcW w:w="2216" w:type="dxa"/>
          </w:tcPr>
          <w:p w14:paraId="192A7A03" w14:textId="74F516F0" w:rsidR="00363A66" w:rsidRDefault="002F379F" w:rsidP="002E77BD">
            <w:pPr>
              <w:pStyle w:val="BodyTextafterheading"/>
              <w:cnfStyle w:val="000000100000" w:firstRow="0" w:lastRow="0" w:firstColumn="0" w:lastColumn="0" w:oddVBand="0" w:evenVBand="0" w:oddHBand="1" w:evenHBand="0" w:firstRowFirstColumn="0" w:firstRowLastColumn="0" w:lastRowFirstColumn="0" w:lastRowLastColumn="0"/>
            </w:pPr>
            <w:r>
              <w:t>1163</w:t>
            </w:r>
          </w:p>
        </w:tc>
        <w:tc>
          <w:tcPr>
            <w:tcW w:w="2210" w:type="dxa"/>
          </w:tcPr>
          <w:p w14:paraId="0D977E1D" w14:textId="0BAFC467" w:rsidR="00363A66" w:rsidRDefault="002F379F" w:rsidP="002E77BD">
            <w:pPr>
              <w:pStyle w:val="BodyTextafterheading"/>
              <w:cnfStyle w:val="000000100000" w:firstRow="0" w:lastRow="0" w:firstColumn="0" w:lastColumn="0" w:oddVBand="0" w:evenVBand="0" w:oddHBand="1" w:evenHBand="0" w:firstRowFirstColumn="0" w:firstRowLastColumn="0" w:lastRowFirstColumn="0" w:lastRowLastColumn="0"/>
            </w:pPr>
            <w:r>
              <w:t>100%</w:t>
            </w:r>
          </w:p>
        </w:tc>
      </w:tr>
    </w:tbl>
    <w:p w14:paraId="65431FAE" w14:textId="4A11D1A4" w:rsidR="002E77BD" w:rsidRDefault="002E77BD" w:rsidP="00425266">
      <w:pPr>
        <w:pStyle w:val="BodyTextafterheading"/>
        <w:numPr>
          <w:ilvl w:val="0"/>
          <w:numId w:val="16"/>
        </w:numPr>
      </w:pPr>
      <w:r>
        <w:t xml:space="preserve">List all </w:t>
      </w:r>
      <w:r w:rsidR="00685F1D">
        <w:t>contract</w:t>
      </w:r>
      <w:r w:rsidR="00AD011E">
        <w:t>s</w:t>
      </w:r>
      <w:r w:rsidR="00685F1D">
        <w:t xml:space="preserve"> for fiscal year </w:t>
      </w:r>
      <w:r w:rsidR="00D53D09">
        <w:t xml:space="preserve">2025 </w:t>
      </w:r>
      <w:r>
        <w:t xml:space="preserve">in the </w:t>
      </w:r>
      <w:r w:rsidR="009676DC">
        <w:t>t</w:t>
      </w:r>
      <w:r>
        <w:t xml:space="preserve">ables </w:t>
      </w:r>
      <w:r w:rsidR="000E09DF">
        <w:t>5</w:t>
      </w:r>
      <w:r w:rsidR="007948E6">
        <w:t xml:space="preserve"> and </w:t>
      </w:r>
      <w:r w:rsidR="000E09DF">
        <w:t>6</w:t>
      </w:r>
      <w:r>
        <w:t xml:space="preserve">. Include contracts with provider organizations and individual practitioners for discrete services. </w:t>
      </w:r>
    </w:p>
    <w:p w14:paraId="5B234421" w14:textId="69763E58" w:rsidR="002E77BD" w:rsidRDefault="002E77BD" w:rsidP="00425266">
      <w:pPr>
        <w:pStyle w:val="BodyTextafterheading"/>
        <w:numPr>
          <w:ilvl w:val="1"/>
          <w:numId w:val="16"/>
        </w:numPr>
      </w:pPr>
      <w:r>
        <w:t xml:space="preserve">In </w:t>
      </w:r>
      <w:r w:rsidR="00720A88">
        <w:t xml:space="preserve">tables </w:t>
      </w:r>
      <w:r w:rsidR="000E09DF">
        <w:t>5</w:t>
      </w:r>
      <w:r w:rsidR="00720A88">
        <w:t xml:space="preserve"> and </w:t>
      </w:r>
      <w:r w:rsidR="000E09DF">
        <w:t>6</w:t>
      </w:r>
      <w:r>
        <w:t>, list the name of the provider organization or individual practitioner. LMHA</w:t>
      </w:r>
      <w:r w:rsidR="00E51DD5">
        <w:t>s</w:t>
      </w:r>
      <w:r>
        <w:t xml:space="preserve"> or LBHA</w:t>
      </w:r>
      <w:r w:rsidR="00E51DD5">
        <w:t>s</w:t>
      </w:r>
      <w:r>
        <w:t xml:space="preserve"> must have written consent to include name</w:t>
      </w:r>
      <w:r w:rsidR="00E51DD5">
        <w:t>s</w:t>
      </w:r>
      <w:r>
        <w:t xml:space="preserve"> of individual peer support provider</w:t>
      </w:r>
      <w:r w:rsidR="00E51DD5">
        <w:t>s</w:t>
      </w:r>
      <w:r>
        <w:t>.</w:t>
      </w:r>
      <w:r w:rsidR="00DA7574">
        <w:t xml:space="preserve"> </w:t>
      </w:r>
      <w:r w:rsidR="00286D31">
        <w:t>State the number of individual peers (e.g., “3 individual peers”) f</w:t>
      </w:r>
      <w:r>
        <w:t>or peer providers that do not wish to have their names listed.</w:t>
      </w:r>
    </w:p>
    <w:p w14:paraId="72F991BB" w14:textId="4284FF77" w:rsidR="002E77BD" w:rsidRDefault="002E77BD" w:rsidP="00425266">
      <w:pPr>
        <w:pStyle w:val="BodyTextafterheading"/>
        <w:numPr>
          <w:ilvl w:val="1"/>
          <w:numId w:val="16"/>
        </w:numPr>
      </w:pPr>
      <w:r>
        <w:t xml:space="preserve">List the services provided by each contractor, including full levels of care, discrete services (such as </w:t>
      </w:r>
      <w:r w:rsidR="00720A88">
        <w:t>Cognitive Behavioral Therapy</w:t>
      </w:r>
      <w:r>
        <w:t>, physician services, or family partner services), crisis and other specialty services, and support services (such as pharmacy benefits management, laboratory, etc.).</w:t>
      </w:r>
    </w:p>
    <w:p w14:paraId="7EE5AAD4" w14:textId="475521D4" w:rsidR="00D21E16" w:rsidRPr="00F976EC" w:rsidRDefault="00D21E16" w:rsidP="00A004B7">
      <w:pPr>
        <w:pStyle w:val="BodyText"/>
        <w:spacing w:after="0"/>
        <w:rPr>
          <w:rStyle w:val="Strong"/>
        </w:rPr>
      </w:pPr>
      <w:r w:rsidRPr="00F976EC">
        <w:rPr>
          <w:rStyle w:val="Strong"/>
        </w:rPr>
        <w:t xml:space="preserve">Table </w:t>
      </w:r>
      <w:r w:rsidR="000E09DF">
        <w:rPr>
          <w:rStyle w:val="Strong"/>
        </w:rPr>
        <w:t>5</w:t>
      </w:r>
      <w:r w:rsidR="00720A88">
        <w:rPr>
          <w:rStyle w:val="Strong"/>
        </w:rPr>
        <w:t xml:space="preserve">: </w:t>
      </w:r>
      <w:r w:rsidR="00A85B10">
        <w:rPr>
          <w:rStyle w:val="Strong"/>
        </w:rPr>
        <w:t>Provider Organizations</w:t>
      </w:r>
    </w:p>
    <w:tbl>
      <w:tblPr>
        <w:tblStyle w:val="HHSTableforTextData"/>
        <w:tblW w:w="0" w:type="auto"/>
        <w:tblLook w:val="04A0" w:firstRow="1" w:lastRow="0" w:firstColumn="1" w:lastColumn="0" w:noHBand="0" w:noVBand="1"/>
      </w:tblPr>
      <w:tblGrid>
        <w:gridCol w:w="4675"/>
        <w:gridCol w:w="4675"/>
      </w:tblGrid>
      <w:tr w:rsidR="00C23CD6" w14:paraId="2D2AA2F9" w14:textId="77777777" w:rsidTr="00C23C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4A723F5" w14:textId="00DF12C3" w:rsidR="00C23CD6" w:rsidRDefault="00C23CD6" w:rsidP="002E77BD">
            <w:pPr>
              <w:pStyle w:val="BodyTextafterheading"/>
            </w:pPr>
            <w:r>
              <w:t>Provider Organization</w:t>
            </w:r>
          </w:p>
        </w:tc>
        <w:tc>
          <w:tcPr>
            <w:tcW w:w="4675" w:type="dxa"/>
          </w:tcPr>
          <w:p w14:paraId="0B1B30C5" w14:textId="0F292A15" w:rsidR="00C23CD6" w:rsidRDefault="00C23CD6" w:rsidP="002E77BD">
            <w:pPr>
              <w:pStyle w:val="BodyTextafterheading"/>
              <w:cnfStyle w:val="100000000000" w:firstRow="1" w:lastRow="0" w:firstColumn="0" w:lastColumn="0" w:oddVBand="0" w:evenVBand="0" w:oddHBand="0" w:evenHBand="0" w:firstRowFirstColumn="0" w:firstRowLastColumn="0" w:lastRowFirstColumn="0" w:lastRowLastColumn="0"/>
            </w:pPr>
            <w:r>
              <w:t>Service(s)</w:t>
            </w:r>
          </w:p>
        </w:tc>
      </w:tr>
      <w:tr w:rsidR="00C23CD6" w14:paraId="58FEC064"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7BB0724" w14:textId="25E2B396" w:rsidR="00C23CD6" w:rsidRDefault="002F379F" w:rsidP="002E77BD">
            <w:pPr>
              <w:pStyle w:val="BodyTextafterheading"/>
            </w:pPr>
            <w:r>
              <w:t>The Wood Group</w:t>
            </w:r>
          </w:p>
        </w:tc>
        <w:tc>
          <w:tcPr>
            <w:tcW w:w="4675" w:type="dxa"/>
          </w:tcPr>
          <w:p w14:paraId="3D0DE45E" w14:textId="32360570" w:rsidR="00C23CD6" w:rsidRDefault="0061762F" w:rsidP="002E77BD">
            <w:pPr>
              <w:pStyle w:val="BodyTextafterheading"/>
              <w:cnfStyle w:val="000000100000" w:firstRow="0" w:lastRow="0" w:firstColumn="0" w:lastColumn="0" w:oddVBand="0" w:evenVBand="0" w:oddHBand="1" w:evenHBand="0" w:firstRowFirstColumn="0" w:firstRowLastColumn="0" w:lastRowFirstColumn="0" w:lastRowLastColumn="0"/>
            </w:pPr>
            <w:r>
              <w:t>Crisis Respite and Assisted Living Unit (Wichita Falls)</w:t>
            </w:r>
          </w:p>
        </w:tc>
      </w:tr>
      <w:tr w:rsidR="00C23CD6" w14:paraId="637CADCF"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02798CA" w14:textId="27479F79" w:rsidR="00C23CD6" w:rsidRDefault="0061762F" w:rsidP="002E77BD">
            <w:pPr>
              <w:pStyle w:val="BodyTextafterheading"/>
            </w:pPr>
            <w:r>
              <w:t>Avail Solutions</w:t>
            </w:r>
          </w:p>
        </w:tc>
        <w:tc>
          <w:tcPr>
            <w:tcW w:w="4675" w:type="dxa"/>
          </w:tcPr>
          <w:p w14:paraId="4A1D5CC4" w14:textId="30659B5A" w:rsidR="00C23CD6" w:rsidRDefault="0061762F" w:rsidP="002E77BD">
            <w:pPr>
              <w:pStyle w:val="BodyTextafterheading"/>
              <w:cnfStyle w:val="000000010000" w:firstRow="0" w:lastRow="0" w:firstColumn="0" w:lastColumn="0" w:oddVBand="0" w:evenVBand="0" w:oddHBand="0" w:evenHBand="1" w:firstRowFirstColumn="0" w:firstRowLastColumn="0" w:lastRowFirstColumn="0" w:lastRowLastColumn="0"/>
            </w:pPr>
            <w:r>
              <w:t>Crisis hotline services</w:t>
            </w:r>
          </w:p>
        </w:tc>
      </w:tr>
      <w:tr w:rsidR="00C23CD6" w14:paraId="367EB48A"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124B989" w14:textId="41DD159D" w:rsidR="00C23CD6" w:rsidRDefault="0061762F" w:rsidP="002E77BD">
            <w:pPr>
              <w:pStyle w:val="BodyTextafterheading"/>
            </w:pPr>
            <w:r>
              <w:t>Red River Hospital</w:t>
            </w:r>
          </w:p>
        </w:tc>
        <w:tc>
          <w:tcPr>
            <w:tcW w:w="4675" w:type="dxa"/>
          </w:tcPr>
          <w:p w14:paraId="38EEA6B8" w14:textId="5440C8B3" w:rsidR="0061762F" w:rsidRPr="0061762F" w:rsidRDefault="0061762F" w:rsidP="0061762F">
            <w:pPr>
              <w:pStyle w:val="BodyTextafterheading"/>
              <w:cnfStyle w:val="000000100000" w:firstRow="0" w:lastRow="0" w:firstColumn="0" w:lastColumn="0" w:oddVBand="0" w:evenVBand="0" w:oddHBand="1" w:evenHBand="0" w:firstRowFirstColumn="0" w:firstRowLastColumn="0" w:lastRowFirstColumn="0" w:lastRowLastColumn="0"/>
            </w:pPr>
            <w:r>
              <w:t>Contracted Inpatient Substance Abuse Treatment, Psychiatric Beds &amp; Nursing Assessments</w:t>
            </w:r>
          </w:p>
        </w:tc>
      </w:tr>
      <w:tr w:rsidR="0061762F" w14:paraId="7609D9CF"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55475C1" w14:textId="4CB95471" w:rsidR="0061762F" w:rsidRDefault="0061762F" w:rsidP="002E77BD">
            <w:pPr>
              <w:pStyle w:val="BodyTextafterheading"/>
            </w:pPr>
            <w:r>
              <w:t xml:space="preserve">Colombia </w:t>
            </w:r>
            <w:r>
              <w:rPr>
                <w:rFonts w:ascii="Verdana" w:hAnsi="Verdana"/>
              </w:rPr>
              <w:t>Medical Center of Denton, d/b/a Medical City Decatur</w:t>
            </w:r>
          </w:p>
        </w:tc>
        <w:tc>
          <w:tcPr>
            <w:tcW w:w="4675" w:type="dxa"/>
          </w:tcPr>
          <w:p w14:paraId="44366692" w14:textId="749D0A73" w:rsidR="0061762F" w:rsidRDefault="0061762F" w:rsidP="0061762F">
            <w:pPr>
              <w:pStyle w:val="BodyTextafterheading"/>
              <w:cnfStyle w:val="000000010000" w:firstRow="0" w:lastRow="0" w:firstColumn="0" w:lastColumn="0" w:oddVBand="0" w:evenVBand="0" w:oddHBand="0" w:evenHBand="1" w:firstRowFirstColumn="0" w:firstRowLastColumn="0" w:lastRowFirstColumn="0" w:lastRowLastColumn="0"/>
            </w:pPr>
            <w:r>
              <w:rPr>
                <w:rFonts w:ascii="Verdana" w:hAnsi="Verdana"/>
              </w:rPr>
              <w:t>Contracted Psychiatric Beds</w:t>
            </w:r>
          </w:p>
        </w:tc>
      </w:tr>
      <w:tr w:rsidR="0061762F" w14:paraId="566BA40D"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42C7B3F" w14:textId="77777777" w:rsidR="0061762F" w:rsidRDefault="0061762F" w:rsidP="0061762F">
            <w:pPr>
              <w:ind w:right="118"/>
              <w:contextualSpacing/>
              <w:rPr>
                <w:rFonts w:ascii="Verdana" w:hAnsi="Verdana"/>
              </w:rPr>
            </w:pPr>
            <w:r>
              <w:rPr>
                <w:rFonts w:ascii="Verdana" w:hAnsi="Verdana"/>
              </w:rPr>
              <w:t xml:space="preserve">Millwood Hospital </w:t>
            </w:r>
          </w:p>
          <w:p w14:paraId="501FBDE5" w14:textId="77777777" w:rsidR="0061762F" w:rsidRDefault="0061762F" w:rsidP="002E77BD">
            <w:pPr>
              <w:pStyle w:val="BodyTextafterheading"/>
            </w:pPr>
          </w:p>
        </w:tc>
        <w:tc>
          <w:tcPr>
            <w:tcW w:w="4675" w:type="dxa"/>
          </w:tcPr>
          <w:p w14:paraId="6CC4D6A7" w14:textId="3277B90B" w:rsidR="0061762F" w:rsidRDefault="0061762F" w:rsidP="0061762F">
            <w:pPr>
              <w:pStyle w:val="BodyTextafterheading"/>
              <w:cnfStyle w:val="000000100000" w:firstRow="0" w:lastRow="0" w:firstColumn="0" w:lastColumn="0" w:oddVBand="0" w:evenVBand="0" w:oddHBand="1" w:evenHBand="0" w:firstRowFirstColumn="0" w:firstRowLastColumn="0" w:lastRowFirstColumn="0" w:lastRowLastColumn="0"/>
            </w:pPr>
            <w:r>
              <w:rPr>
                <w:rFonts w:ascii="Verdana" w:hAnsi="Verdana"/>
              </w:rPr>
              <w:t>Contracted Psychiatric Beds</w:t>
            </w:r>
          </w:p>
        </w:tc>
      </w:tr>
      <w:tr w:rsidR="0061762F" w14:paraId="19F159CE"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9987D09" w14:textId="3F21E884" w:rsidR="0061762F" w:rsidRDefault="0061762F" w:rsidP="002E77BD">
            <w:pPr>
              <w:pStyle w:val="BodyTextafterheading"/>
            </w:pPr>
            <w:r>
              <w:rPr>
                <w:rFonts w:ascii="Verdana" w:hAnsi="Verdana"/>
              </w:rPr>
              <w:t>Perimeter Hospital</w:t>
            </w:r>
          </w:p>
        </w:tc>
        <w:tc>
          <w:tcPr>
            <w:tcW w:w="4675" w:type="dxa"/>
          </w:tcPr>
          <w:p w14:paraId="2A019657" w14:textId="14512EB5" w:rsidR="0061762F" w:rsidRDefault="0061762F" w:rsidP="0061762F">
            <w:pPr>
              <w:pStyle w:val="BodyTextafterheading"/>
              <w:cnfStyle w:val="000000010000" w:firstRow="0" w:lastRow="0" w:firstColumn="0" w:lastColumn="0" w:oddVBand="0" w:evenVBand="0" w:oddHBand="0" w:evenHBand="1" w:firstRowFirstColumn="0" w:firstRowLastColumn="0" w:lastRowFirstColumn="0" w:lastRowLastColumn="0"/>
            </w:pPr>
            <w:r>
              <w:rPr>
                <w:rFonts w:ascii="Verdana" w:hAnsi="Verdana"/>
              </w:rPr>
              <w:t>Contracted Psychiatric Beds</w:t>
            </w:r>
          </w:p>
        </w:tc>
      </w:tr>
      <w:tr w:rsidR="0061762F" w14:paraId="44933E25"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B0EF147" w14:textId="20AC5A10" w:rsidR="0061762F" w:rsidRDefault="0061762F" w:rsidP="002E77BD">
            <w:pPr>
              <w:pStyle w:val="BodyTextafterheading"/>
            </w:pPr>
            <w:r>
              <w:rPr>
                <w:rFonts w:ascii="Verdana" w:hAnsi="Verdana"/>
              </w:rPr>
              <w:t>Northwest Texas Healthcare System - “The Pavilion”</w:t>
            </w:r>
          </w:p>
        </w:tc>
        <w:tc>
          <w:tcPr>
            <w:tcW w:w="4675" w:type="dxa"/>
          </w:tcPr>
          <w:p w14:paraId="674B0888" w14:textId="64F980A9" w:rsidR="0061762F" w:rsidRDefault="0061762F" w:rsidP="0061762F">
            <w:pPr>
              <w:pStyle w:val="BodyTextafterheading"/>
              <w:cnfStyle w:val="000000100000" w:firstRow="0" w:lastRow="0" w:firstColumn="0" w:lastColumn="0" w:oddVBand="0" w:evenVBand="0" w:oddHBand="1" w:evenHBand="0" w:firstRowFirstColumn="0" w:firstRowLastColumn="0" w:lastRowFirstColumn="0" w:lastRowLastColumn="0"/>
            </w:pPr>
            <w:r>
              <w:rPr>
                <w:rFonts w:ascii="Verdana" w:hAnsi="Verdana"/>
              </w:rPr>
              <w:t>Contracted Psychiatric Beds</w:t>
            </w:r>
          </w:p>
        </w:tc>
      </w:tr>
      <w:tr w:rsidR="008A2F35" w14:paraId="3D221574"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340F19E" w14:textId="17F4371A" w:rsidR="008A2F35" w:rsidRPr="00E81F9E" w:rsidRDefault="008A2F35" w:rsidP="008A2F35">
            <w:pPr>
              <w:pStyle w:val="BodyTextafterheading"/>
              <w:rPr>
                <w:rFonts w:ascii="Verdana" w:hAnsi="Verdana"/>
                <w:szCs w:val="24"/>
              </w:rPr>
            </w:pPr>
            <w:r w:rsidRPr="00E81F9E">
              <w:rPr>
                <w:rFonts w:ascii="Verdana" w:hAnsi="Verdana"/>
                <w:szCs w:val="24"/>
              </w:rPr>
              <w:t>Clinical Pathology</w:t>
            </w:r>
          </w:p>
        </w:tc>
        <w:tc>
          <w:tcPr>
            <w:tcW w:w="4675" w:type="dxa"/>
          </w:tcPr>
          <w:p w14:paraId="3D81F1B2" w14:textId="0EF2A7C8" w:rsidR="008A2F35" w:rsidRDefault="008A2F35" w:rsidP="008A2F35">
            <w:pPr>
              <w:pStyle w:val="BodyTextafterheading"/>
              <w:cnfStyle w:val="000000010000" w:firstRow="0" w:lastRow="0" w:firstColumn="0" w:lastColumn="0" w:oddVBand="0" w:evenVBand="0" w:oddHBand="0" w:evenHBand="1" w:firstRowFirstColumn="0" w:firstRowLastColumn="0" w:lastRowFirstColumn="0" w:lastRowLastColumn="0"/>
            </w:pPr>
            <w:r w:rsidRPr="00E81F9E">
              <w:rPr>
                <w:rFonts w:ascii="Verdana" w:hAnsi="Verdana"/>
                <w:szCs w:val="24"/>
              </w:rPr>
              <w:t>Labs</w:t>
            </w:r>
          </w:p>
        </w:tc>
      </w:tr>
      <w:tr w:rsidR="008A2F35" w14:paraId="62B28D9C"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1879CA0" w14:textId="1961D858" w:rsidR="008A2F35" w:rsidRDefault="008A2F35" w:rsidP="008A2F35">
            <w:pPr>
              <w:pStyle w:val="BodyTextafterheading"/>
            </w:pPr>
            <w:r w:rsidRPr="00E81F9E">
              <w:rPr>
                <w:rFonts w:ascii="Verdana" w:hAnsi="Verdana"/>
                <w:szCs w:val="24"/>
              </w:rPr>
              <w:t>Integrated Prescription Management (IPM)</w:t>
            </w:r>
          </w:p>
        </w:tc>
        <w:tc>
          <w:tcPr>
            <w:tcW w:w="4675" w:type="dxa"/>
          </w:tcPr>
          <w:p w14:paraId="0A9073AE" w14:textId="2751D3B6" w:rsidR="008A2F35" w:rsidRDefault="008A2F35" w:rsidP="008A2F35">
            <w:pPr>
              <w:pStyle w:val="BodyTextafterheading"/>
              <w:cnfStyle w:val="000000100000" w:firstRow="0" w:lastRow="0" w:firstColumn="0" w:lastColumn="0" w:oddVBand="0" w:evenVBand="0" w:oddHBand="1" w:evenHBand="0" w:firstRowFirstColumn="0" w:firstRowLastColumn="0" w:lastRowFirstColumn="0" w:lastRowLastColumn="0"/>
            </w:pPr>
            <w:r>
              <w:t>Pharmacy</w:t>
            </w:r>
          </w:p>
        </w:tc>
      </w:tr>
      <w:tr w:rsidR="008A2F35" w14:paraId="471F2FD6"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6EF8ABC" w14:textId="00F44A9E" w:rsidR="008A2F35" w:rsidRDefault="008A2F35" w:rsidP="008A2F35">
            <w:pPr>
              <w:pStyle w:val="BodyTextafterheading"/>
            </w:pPr>
            <w:r w:rsidRPr="00E81F9E">
              <w:rPr>
                <w:rFonts w:ascii="Verdana" w:hAnsi="Verdana"/>
                <w:szCs w:val="24"/>
              </w:rPr>
              <w:t>Abilene Recovery Council, I</w:t>
            </w:r>
            <w:r>
              <w:rPr>
                <w:rFonts w:ascii="Verdana" w:hAnsi="Verdana"/>
                <w:szCs w:val="24"/>
              </w:rPr>
              <w:t xml:space="preserve">nc. </w:t>
            </w:r>
          </w:p>
        </w:tc>
        <w:tc>
          <w:tcPr>
            <w:tcW w:w="4675" w:type="dxa"/>
          </w:tcPr>
          <w:p w14:paraId="5EAA522B" w14:textId="2E155D0D" w:rsidR="008A2F35" w:rsidRDefault="008A2F35" w:rsidP="008A2F35">
            <w:pPr>
              <w:pStyle w:val="BodyTextafterheading"/>
              <w:cnfStyle w:val="000000010000" w:firstRow="0" w:lastRow="0" w:firstColumn="0" w:lastColumn="0" w:oddVBand="0" w:evenVBand="0" w:oddHBand="0" w:evenHBand="1" w:firstRowFirstColumn="0" w:firstRowLastColumn="0" w:lastRowFirstColumn="0" w:lastRowLastColumn="0"/>
            </w:pPr>
            <w:r w:rsidRPr="00E81F9E">
              <w:rPr>
                <w:rFonts w:ascii="Verdana" w:hAnsi="Verdana"/>
                <w:szCs w:val="24"/>
              </w:rPr>
              <w:t xml:space="preserve">Outreach, Screening, Assessment and Referral  </w:t>
            </w:r>
          </w:p>
        </w:tc>
      </w:tr>
      <w:tr w:rsidR="008A2F35" w14:paraId="43BD1E47"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27AF405" w14:textId="0ACA0218" w:rsidR="008A2F35" w:rsidRDefault="008A2F35" w:rsidP="008A2F35">
            <w:pPr>
              <w:pStyle w:val="BodyTextafterheading"/>
            </w:pPr>
            <w:r w:rsidRPr="00E81F9E">
              <w:rPr>
                <w:rFonts w:ascii="Verdana" w:hAnsi="Verdana"/>
                <w:szCs w:val="24"/>
              </w:rPr>
              <w:t>Talking Hands Translation</w:t>
            </w:r>
          </w:p>
        </w:tc>
        <w:tc>
          <w:tcPr>
            <w:tcW w:w="4675" w:type="dxa"/>
          </w:tcPr>
          <w:p w14:paraId="11F01E0A" w14:textId="02BF07D9" w:rsidR="008A2F35" w:rsidRDefault="008A2F35" w:rsidP="008A2F35">
            <w:pPr>
              <w:pStyle w:val="BodyTextafterheading"/>
              <w:cnfStyle w:val="000000100000" w:firstRow="0" w:lastRow="0" w:firstColumn="0" w:lastColumn="0" w:oddVBand="0" w:evenVBand="0" w:oddHBand="1" w:evenHBand="0" w:firstRowFirstColumn="0" w:firstRowLastColumn="0" w:lastRowFirstColumn="0" w:lastRowLastColumn="0"/>
            </w:pPr>
            <w:r w:rsidRPr="00E81F9E">
              <w:rPr>
                <w:rFonts w:ascii="Verdana" w:hAnsi="Verdana"/>
                <w:szCs w:val="24"/>
              </w:rPr>
              <w:t>Sign language</w:t>
            </w:r>
          </w:p>
        </w:tc>
      </w:tr>
      <w:tr w:rsidR="00A26AC0" w14:paraId="12CE94E4"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BB35401" w14:textId="0D87F247" w:rsidR="00A26AC0" w:rsidRPr="00E81F9E" w:rsidRDefault="00A26AC0" w:rsidP="008A2F35">
            <w:pPr>
              <w:pStyle w:val="BodyTextafterheading"/>
              <w:rPr>
                <w:rFonts w:ascii="Verdana" w:hAnsi="Verdana"/>
                <w:szCs w:val="24"/>
              </w:rPr>
            </w:pPr>
            <w:r>
              <w:rPr>
                <w:rFonts w:ascii="Verdana" w:hAnsi="Verdana"/>
                <w:szCs w:val="24"/>
              </w:rPr>
              <w:t xml:space="preserve">Superior Health </w:t>
            </w:r>
          </w:p>
        </w:tc>
        <w:tc>
          <w:tcPr>
            <w:tcW w:w="4675" w:type="dxa"/>
          </w:tcPr>
          <w:p w14:paraId="29AAA6D2" w14:textId="37A23384" w:rsidR="00A26AC0" w:rsidRPr="00E81F9E" w:rsidRDefault="00A26AC0" w:rsidP="008A2F35">
            <w:pPr>
              <w:pStyle w:val="BodyTextafterheading"/>
              <w:cnfStyle w:val="000000010000" w:firstRow="0" w:lastRow="0" w:firstColumn="0" w:lastColumn="0" w:oddVBand="0" w:evenVBand="0" w:oddHBand="0" w:evenHBand="1" w:firstRowFirstColumn="0" w:firstRowLastColumn="0" w:lastRowFirstColumn="0" w:lastRowLastColumn="0"/>
              <w:rPr>
                <w:rFonts w:ascii="Verdana" w:hAnsi="Verdana"/>
                <w:szCs w:val="24"/>
              </w:rPr>
            </w:pPr>
            <w:r>
              <w:rPr>
                <w:rFonts w:ascii="Verdana" w:hAnsi="Verdana"/>
                <w:szCs w:val="24"/>
              </w:rPr>
              <w:t>Credentialing</w:t>
            </w:r>
          </w:p>
        </w:tc>
      </w:tr>
      <w:tr w:rsidR="008A2F35" w14:paraId="2274CC79"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A223723" w14:textId="70518A0E" w:rsidR="008A2F35" w:rsidRDefault="008A2F35" w:rsidP="008A2F35">
            <w:pPr>
              <w:pStyle w:val="BodyTextafterheading"/>
            </w:pPr>
            <w:r w:rsidRPr="00E81F9E">
              <w:rPr>
                <w:rFonts w:ascii="Verdana" w:hAnsi="Verdana"/>
                <w:szCs w:val="24"/>
              </w:rPr>
              <w:t>Relias Learning, LLC</w:t>
            </w:r>
          </w:p>
        </w:tc>
        <w:tc>
          <w:tcPr>
            <w:tcW w:w="4675" w:type="dxa"/>
          </w:tcPr>
          <w:p w14:paraId="1DAA1F05" w14:textId="032A2D81" w:rsidR="008A2F35" w:rsidRDefault="008A2F35" w:rsidP="008A2F35">
            <w:pPr>
              <w:pStyle w:val="BodyTextafterheading"/>
              <w:cnfStyle w:val="000000100000" w:firstRow="0" w:lastRow="0" w:firstColumn="0" w:lastColumn="0" w:oddVBand="0" w:evenVBand="0" w:oddHBand="1" w:evenHBand="0" w:firstRowFirstColumn="0" w:firstRowLastColumn="0" w:lastRowFirstColumn="0" w:lastRowLastColumn="0"/>
            </w:pPr>
            <w:r w:rsidRPr="00E81F9E">
              <w:rPr>
                <w:rFonts w:ascii="Verdana" w:hAnsi="Verdana"/>
                <w:szCs w:val="24"/>
              </w:rPr>
              <w:t xml:space="preserve">Staff Training </w:t>
            </w:r>
          </w:p>
        </w:tc>
      </w:tr>
      <w:tr w:rsidR="008A2F35" w14:paraId="44ED1F29"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5D506A2" w14:textId="04206F6E" w:rsidR="008A2F35" w:rsidRDefault="008A2F35" w:rsidP="008A2F35">
            <w:pPr>
              <w:pStyle w:val="BodyTextafterheading"/>
            </w:pPr>
            <w:r w:rsidRPr="00E81F9E">
              <w:rPr>
                <w:rFonts w:ascii="Verdana" w:hAnsi="Verdana"/>
                <w:szCs w:val="24"/>
              </w:rPr>
              <w:t>Language Lines</w:t>
            </w:r>
          </w:p>
        </w:tc>
        <w:tc>
          <w:tcPr>
            <w:tcW w:w="4675" w:type="dxa"/>
          </w:tcPr>
          <w:p w14:paraId="086C7C67" w14:textId="6B5F7FF7" w:rsidR="008A2F35" w:rsidRDefault="008A2F35" w:rsidP="008A2F35">
            <w:pPr>
              <w:pStyle w:val="BodyTextafterheading"/>
              <w:cnfStyle w:val="000000010000" w:firstRow="0" w:lastRow="0" w:firstColumn="0" w:lastColumn="0" w:oddVBand="0" w:evenVBand="0" w:oddHBand="0" w:evenHBand="1" w:firstRowFirstColumn="0" w:firstRowLastColumn="0" w:lastRowFirstColumn="0" w:lastRowLastColumn="0"/>
            </w:pPr>
            <w:r w:rsidRPr="00E81F9E">
              <w:rPr>
                <w:rFonts w:ascii="Verdana" w:hAnsi="Verdana"/>
                <w:szCs w:val="24"/>
              </w:rPr>
              <w:t xml:space="preserve">Translation Service </w:t>
            </w:r>
          </w:p>
        </w:tc>
      </w:tr>
      <w:tr w:rsidR="008A2F35" w14:paraId="2997437E"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7D13405" w14:textId="4F0399F5" w:rsidR="008A2F35" w:rsidRDefault="008A2F35" w:rsidP="008A2F35">
            <w:pPr>
              <w:pStyle w:val="BodyTextafterheading"/>
            </w:pPr>
            <w:r w:rsidRPr="00E81F9E">
              <w:rPr>
                <w:rFonts w:ascii="Verdana" w:hAnsi="Verdana"/>
                <w:szCs w:val="24"/>
              </w:rPr>
              <w:t>Chase</w:t>
            </w:r>
          </w:p>
        </w:tc>
        <w:tc>
          <w:tcPr>
            <w:tcW w:w="4675" w:type="dxa"/>
          </w:tcPr>
          <w:p w14:paraId="0FC592A3" w14:textId="58363341" w:rsidR="008A2F35" w:rsidRDefault="008A2F35" w:rsidP="008A2F35">
            <w:pPr>
              <w:pStyle w:val="BodyTextafterheading"/>
              <w:cnfStyle w:val="000000100000" w:firstRow="0" w:lastRow="0" w:firstColumn="0" w:lastColumn="0" w:oddVBand="0" w:evenVBand="0" w:oddHBand="1" w:evenHBand="0" w:firstRowFirstColumn="0" w:firstRowLastColumn="0" w:lastRowFirstColumn="0" w:lastRowLastColumn="0"/>
            </w:pPr>
            <w:r w:rsidRPr="00E81F9E">
              <w:rPr>
                <w:rFonts w:ascii="Verdana" w:hAnsi="Verdana"/>
                <w:szCs w:val="24"/>
              </w:rPr>
              <w:t>Procurement cards</w:t>
            </w:r>
          </w:p>
        </w:tc>
      </w:tr>
      <w:tr w:rsidR="008A2F35" w14:paraId="7F0A0C2B"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B050F2B" w14:textId="12D37114" w:rsidR="008A2F35" w:rsidRDefault="008A2F35" w:rsidP="008A2F35">
            <w:pPr>
              <w:pStyle w:val="BodyTextafterheading"/>
            </w:pPr>
            <w:r w:rsidRPr="00E81F9E">
              <w:rPr>
                <w:rFonts w:ascii="Verdana" w:hAnsi="Verdana"/>
                <w:szCs w:val="24"/>
              </w:rPr>
              <w:t>Enterprise Rental Car</w:t>
            </w:r>
          </w:p>
        </w:tc>
        <w:tc>
          <w:tcPr>
            <w:tcW w:w="4675" w:type="dxa"/>
          </w:tcPr>
          <w:p w14:paraId="7C23A8A7" w14:textId="54A5C1EA" w:rsidR="008A2F35" w:rsidRDefault="008A2F35" w:rsidP="008A2F35">
            <w:pPr>
              <w:pStyle w:val="BodyTextafterheading"/>
              <w:cnfStyle w:val="000000010000" w:firstRow="0" w:lastRow="0" w:firstColumn="0" w:lastColumn="0" w:oddVBand="0" w:evenVBand="0" w:oddHBand="0" w:evenHBand="1" w:firstRowFirstColumn="0" w:firstRowLastColumn="0" w:lastRowFirstColumn="0" w:lastRowLastColumn="0"/>
            </w:pPr>
            <w:r w:rsidRPr="00E81F9E">
              <w:rPr>
                <w:rFonts w:ascii="Verdana" w:hAnsi="Verdana"/>
                <w:szCs w:val="24"/>
              </w:rPr>
              <w:t>Rental cars used for employee trainings</w:t>
            </w:r>
          </w:p>
        </w:tc>
      </w:tr>
      <w:tr w:rsidR="008A2F35" w14:paraId="6BBD55FF"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4DAE664" w14:textId="61475875" w:rsidR="008A2F35" w:rsidRPr="00E81F9E" w:rsidRDefault="008A2F35" w:rsidP="008A2F35">
            <w:pPr>
              <w:pStyle w:val="BodyTextafterheading"/>
              <w:rPr>
                <w:rFonts w:ascii="Verdana" w:hAnsi="Verdana"/>
                <w:szCs w:val="24"/>
              </w:rPr>
            </w:pPr>
            <w:r w:rsidRPr="00E81F9E">
              <w:rPr>
                <w:rFonts w:ascii="Verdana" w:hAnsi="Verdana"/>
                <w:szCs w:val="24"/>
              </w:rPr>
              <w:t>Enterprise Fleet</w:t>
            </w:r>
          </w:p>
        </w:tc>
        <w:tc>
          <w:tcPr>
            <w:tcW w:w="4675" w:type="dxa"/>
          </w:tcPr>
          <w:p w14:paraId="6CC564EA" w14:textId="0919618A" w:rsidR="008A2F35" w:rsidRPr="00E81F9E" w:rsidRDefault="008A2F35" w:rsidP="008A2F35">
            <w:pPr>
              <w:pStyle w:val="BodyTextafterheading"/>
              <w:cnfStyle w:val="000000100000" w:firstRow="0" w:lastRow="0" w:firstColumn="0" w:lastColumn="0" w:oddVBand="0" w:evenVBand="0" w:oddHBand="1" w:evenHBand="0" w:firstRowFirstColumn="0" w:firstRowLastColumn="0" w:lastRowFirstColumn="0" w:lastRowLastColumn="0"/>
              <w:rPr>
                <w:rFonts w:ascii="Verdana" w:hAnsi="Verdana"/>
                <w:szCs w:val="24"/>
              </w:rPr>
            </w:pPr>
            <w:r w:rsidRPr="00E81F9E">
              <w:rPr>
                <w:rFonts w:ascii="Verdana" w:hAnsi="Verdana"/>
                <w:szCs w:val="24"/>
              </w:rPr>
              <w:t>Leased cars</w:t>
            </w:r>
          </w:p>
        </w:tc>
      </w:tr>
      <w:tr w:rsidR="008A2F35" w14:paraId="5A58C06B"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F81D76A" w14:textId="63696D04" w:rsidR="008A2F35" w:rsidRDefault="008A2F35" w:rsidP="008A2F35">
            <w:pPr>
              <w:pStyle w:val="BodyTextafterheading"/>
            </w:pPr>
            <w:r w:rsidRPr="00E81F9E">
              <w:rPr>
                <w:rFonts w:ascii="Verdana" w:hAnsi="Verdana"/>
                <w:szCs w:val="24"/>
              </w:rPr>
              <w:t>Pearson Q Local Software</w:t>
            </w:r>
          </w:p>
        </w:tc>
        <w:tc>
          <w:tcPr>
            <w:tcW w:w="4675" w:type="dxa"/>
          </w:tcPr>
          <w:p w14:paraId="7331D8D8" w14:textId="5E881F9F" w:rsidR="008A2F35" w:rsidRDefault="008A2F35" w:rsidP="008A2F35">
            <w:pPr>
              <w:pStyle w:val="BodyTextafterheading"/>
              <w:cnfStyle w:val="000000010000" w:firstRow="0" w:lastRow="0" w:firstColumn="0" w:lastColumn="0" w:oddVBand="0" w:evenVBand="0" w:oddHBand="0" w:evenHBand="1" w:firstRowFirstColumn="0" w:firstRowLastColumn="0" w:lastRowFirstColumn="0" w:lastRowLastColumn="0"/>
            </w:pPr>
            <w:r w:rsidRPr="00E81F9E">
              <w:rPr>
                <w:rFonts w:ascii="Verdana" w:hAnsi="Verdana"/>
                <w:szCs w:val="24"/>
              </w:rPr>
              <w:t>MMPI’s</w:t>
            </w:r>
          </w:p>
        </w:tc>
      </w:tr>
      <w:tr w:rsidR="008A2F35" w14:paraId="0A679486"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9DA9CB8" w14:textId="3DC31786" w:rsidR="008A2F35" w:rsidRDefault="008A2F35" w:rsidP="008A2F35">
            <w:pPr>
              <w:pStyle w:val="BodyTextafterheading"/>
            </w:pPr>
            <w:r w:rsidRPr="00E81F9E">
              <w:rPr>
                <w:rFonts w:ascii="Verdana" w:hAnsi="Verdana"/>
                <w:szCs w:val="24"/>
              </w:rPr>
              <w:t>Survey Monkey</w:t>
            </w:r>
          </w:p>
        </w:tc>
        <w:tc>
          <w:tcPr>
            <w:tcW w:w="4675" w:type="dxa"/>
          </w:tcPr>
          <w:p w14:paraId="72BAFC22" w14:textId="006A5476" w:rsidR="008A2F35" w:rsidRDefault="008A2F35" w:rsidP="008A2F35">
            <w:pPr>
              <w:pStyle w:val="BodyTextafterheading"/>
              <w:cnfStyle w:val="000000100000" w:firstRow="0" w:lastRow="0" w:firstColumn="0" w:lastColumn="0" w:oddVBand="0" w:evenVBand="0" w:oddHBand="1" w:evenHBand="0" w:firstRowFirstColumn="0" w:firstRowLastColumn="0" w:lastRowFirstColumn="0" w:lastRowLastColumn="0"/>
            </w:pPr>
            <w:r w:rsidRPr="00E81F9E">
              <w:rPr>
                <w:rFonts w:ascii="Verdana" w:hAnsi="Verdana"/>
                <w:szCs w:val="24"/>
              </w:rPr>
              <w:t>Online Survey Services</w:t>
            </w:r>
          </w:p>
        </w:tc>
      </w:tr>
      <w:tr w:rsidR="008A2F35" w14:paraId="14E747D8"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C758057" w14:textId="39E79315" w:rsidR="008A2F35" w:rsidRDefault="008A2F35" w:rsidP="008A2F35">
            <w:pPr>
              <w:pStyle w:val="BodyTextafterheading"/>
            </w:pPr>
            <w:r w:rsidRPr="00E81F9E">
              <w:rPr>
                <w:rFonts w:ascii="Verdana" w:hAnsi="Verdana"/>
                <w:szCs w:val="24"/>
              </w:rPr>
              <w:t>Paycom</w:t>
            </w:r>
          </w:p>
        </w:tc>
        <w:tc>
          <w:tcPr>
            <w:tcW w:w="4675" w:type="dxa"/>
          </w:tcPr>
          <w:p w14:paraId="52C97055" w14:textId="04025444" w:rsidR="008A2F35" w:rsidRDefault="008A2F35" w:rsidP="008A2F35">
            <w:pPr>
              <w:pStyle w:val="BodyTextafterheading"/>
              <w:cnfStyle w:val="000000010000" w:firstRow="0" w:lastRow="0" w:firstColumn="0" w:lastColumn="0" w:oddVBand="0" w:evenVBand="0" w:oddHBand="0" w:evenHBand="1" w:firstRowFirstColumn="0" w:firstRowLastColumn="0" w:lastRowFirstColumn="0" w:lastRowLastColumn="0"/>
            </w:pPr>
            <w:r w:rsidRPr="00E81F9E">
              <w:rPr>
                <w:rFonts w:ascii="Verdana" w:hAnsi="Verdana"/>
                <w:szCs w:val="24"/>
              </w:rPr>
              <w:t>Employee tracking software</w:t>
            </w:r>
          </w:p>
        </w:tc>
      </w:tr>
      <w:tr w:rsidR="008A2F35" w14:paraId="0912103D"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7BBF094" w14:textId="37117184" w:rsidR="008A2F35" w:rsidRDefault="008A2F35" w:rsidP="008A2F35">
            <w:pPr>
              <w:pStyle w:val="BodyTextafterheading"/>
            </w:pPr>
            <w:r w:rsidRPr="00E81F9E">
              <w:rPr>
                <w:rFonts w:ascii="Verdana" w:hAnsi="Verdana"/>
                <w:szCs w:val="24"/>
              </w:rPr>
              <w:t>Scott Singleton Fincher &amp; CO</w:t>
            </w:r>
          </w:p>
        </w:tc>
        <w:tc>
          <w:tcPr>
            <w:tcW w:w="4675" w:type="dxa"/>
          </w:tcPr>
          <w:p w14:paraId="50091FB4" w14:textId="333C9B50" w:rsidR="008A2F35" w:rsidRDefault="008A2F35" w:rsidP="008A2F35">
            <w:pPr>
              <w:pStyle w:val="BodyTextafterheading"/>
              <w:cnfStyle w:val="000000100000" w:firstRow="0" w:lastRow="0" w:firstColumn="0" w:lastColumn="0" w:oddVBand="0" w:evenVBand="0" w:oddHBand="1" w:evenHBand="0" w:firstRowFirstColumn="0" w:firstRowLastColumn="0" w:lastRowFirstColumn="0" w:lastRowLastColumn="0"/>
            </w:pPr>
            <w:r w:rsidRPr="00E81F9E">
              <w:rPr>
                <w:rFonts w:ascii="Verdana" w:hAnsi="Verdana"/>
                <w:szCs w:val="24"/>
              </w:rPr>
              <w:t xml:space="preserve">Auditors </w:t>
            </w:r>
          </w:p>
        </w:tc>
      </w:tr>
      <w:tr w:rsidR="008A2F35" w14:paraId="0292F51D"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3ADB288" w14:textId="371F150B" w:rsidR="008A2F35" w:rsidRDefault="008A2F35" w:rsidP="008A2F35">
            <w:pPr>
              <w:pStyle w:val="BodyTextafterheading"/>
            </w:pPr>
            <w:proofErr w:type="spellStart"/>
            <w:r w:rsidRPr="00E81F9E">
              <w:rPr>
                <w:rFonts w:ascii="Verdana" w:hAnsi="Verdana"/>
                <w:szCs w:val="24"/>
              </w:rPr>
              <w:t>Aunalytics</w:t>
            </w:r>
            <w:proofErr w:type="spellEnd"/>
          </w:p>
        </w:tc>
        <w:tc>
          <w:tcPr>
            <w:tcW w:w="4675" w:type="dxa"/>
          </w:tcPr>
          <w:p w14:paraId="29A6E459" w14:textId="3E771DB0" w:rsidR="008A2F35" w:rsidRDefault="008A2F35" w:rsidP="008A2F35">
            <w:pPr>
              <w:pStyle w:val="BodyTextafterheading"/>
              <w:cnfStyle w:val="000000010000" w:firstRow="0" w:lastRow="0" w:firstColumn="0" w:lastColumn="0" w:oddVBand="0" w:evenVBand="0" w:oddHBand="0" w:evenHBand="1" w:firstRowFirstColumn="0" w:firstRowLastColumn="0" w:lastRowFirstColumn="0" w:lastRowLastColumn="0"/>
            </w:pPr>
            <w:r w:rsidRPr="00E81F9E">
              <w:rPr>
                <w:rFonts w:ascii="Verdana" w:hAnsi="Verdana"/>
                <w:szCs w:val="24"/>
              </w:rPr>
              <w:t xml:space="preserve">Business Cloud Services </w:t>
            </w:r>
          </w:p>
        </w:tc>
      </w:tr>
      <w:tr w:rsidR="008A2F35" w14:paraId="3F631A03"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4D23D86" w14:textId="7ABAC8D8" w:rsidR="008A2F35" w:rsidRDefault="008A2F35" w:rsidP="008A2F35">
            <w:pPr>
              <w:pStyle w:val="BodyTextafterheading"/>
            </w:pPr>
            <w:r w:rsidRPr="00E81F9E">
              <w:rPr>
                <w:rFonts w:ascii="Verdana" w:hAnsi="Verdana"/>
                <w:szCs w:val="24"/>
              </w:rPr>
              <w:t xml:space="preserve">Blackbaud, INC. </w:t>
            </w:r>
          </w:p>
        </w:tc>
        <w:tc>
          <w:tcPr>
            <w:tcW w:w="4675" w:type="dxa"/>
          </w:tcPr>
          <w:p w14:paraId="708F2A9F" w14:textId="6AB7F37D" w:rsidR="008A2F35" w:rsidRDefault="008A2F35" w:rsidP="008A2F35">
            <w:pPr>
              <w:pStyle w:val="BodyTextafterheading"/>
              <w:cnfStyle w:val="000000100000" w:firstRow="0" w:lastRow="0" w:firstColumn="0" w:lastColumn="0" w:oddVBand="0" w:evenVBand="0" w:oddHBand="1" w:evenHBand="0" w:firstRowFirstColumn="0" w:firstRowLastColumn="0" w:lastRowFirstColumn="0" w:lastRowLastColumn="0"/>
            </w:pPr>
            <w:r w:rsidRPr="00E81F9E">
              <w:rPr>
                <w:rFonts w:ascii="Verdana" w:hAnsi="Verdana"/>
                <w:szCs w:val="24"/>
              </w:rPr>
              <w:t xml:space="preserve">Financial Software </w:t>
            </w:r>
          </w:p>
        </w:tc>
      </w:tr>
      <w:tr w:rsidR="008A2F35" w14:paraId="4B39F644"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7E9AF7E" w14:textId="5E49BE21" w:rsidR="008A2F35" w:rsidRDefault="008A2F35" w:rsidP="008A2F35">
            <w:pPr>
              <w:pStyle w:val="BodyTextafterheading"/>
            </w:pPr>
            <w:r w:rsidRPr="00E81F9E">
              <w:rPr>
                <w:rFonts w:ascii="Verdana" w:hAnsi="Verdana"/>
                <w:szCs w:val="24"/>
              </w:rPr>
              <w:t>Benchmark</w:t>
            </w:r>
          </w:p>
        </w:tc>
        <w:tc>
          <w:tcPr>
            <w:tcW w:w="4675" w:type="dxa"/>
          </w:tcPr>
          <w:p w14:paraId="3AFE5CC6" w14:textId="4E0FF019" w:rsidR="008A2F35" w:rsidRDefault="008A2F35" w:rsidP="008A2F35">
            <w:pPr>
              <w:pStyle w:val="BodyTextafterheading"/>
              <w:cnfStyle w:val="000000010000" w:firstRow="0" w:lastRow="0" w:firstColumn="0" w:lastColumn="0" w:oddVBand="0" w:evenVBand="0" w:oddHBand="0" w:evenHBand="1" w:firstRowFirstColumn="0" w:firstRowLastColumn="0" w:lastRowFirstColumn="0" w:lastRowLastColumn="0"/>
            </w:pPr>
            <w:r w:rsidRPr="00E81F9E">
              <w:rPr>
                <w:rFonts w:ascii="Verdana" w:hAnsi="Verdana"/>
                <w:szCs w:val="24"/>
              </w:rPr>
              <w:t>Leased copiers</w:t>
            </w:r>
          </w:p>
        </w:tc>
      </w:tr>
      <w:tr w:rsidR="008A2F35" w14:paraId="5A72A89D"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9A95C7B" w14:textId="547ACF70" w:rsidR="008A2F35" w:rsidRDefault="008A2F35" w:rsidP="008A2F35">
            <w:pPr>
              <w:pStyle w:val="BodyTextafterheading"/>
            </w:pPr>
            <w:r w:rsidRPr="00E81F9E">
              <w:rPr>
                <w:rFonts w:ascii="Verdana" w:hAnsi="Verdana"/>
                <w:szCs w:val="24"/>
              </w:rPr>
              <w:t>Pitney Bowes</w:t>
            </w:r>
          </w:p>
        </w:tc>
        <w:tc>
          <w:tcPr>
            <w:tcW w:w="4675" w:type="dxa"/>
          </w:tcPr>
          <w:p w14:paraId="414DA2FD" w14:textId="0674EC29" w:rsidR="008A2F35" w:rsidRDefault="008A2F35" w:rsidP="008A2F35">
            <w:pPr>
              <w:pStyle w:val="BodyTextafterheading"/>
              <w:cnfStyle w:val="000000100000" w:firstRow="0" w:lastRow="0" w:firstColumn="0" w:lastColumn="0" w:oddVBand="0" w:evenVBand="0" w:oddHBand="1" w:evenHBand="0" w:firstRowFirstColumn="0" w:firstRowLastColumn="0" w:lastRowFirstColumn="0" w:lastRowLastColumn="0"/>
            </w:pPr>
            <w:r w:rsidRPr="00E81F9E">
              <w:rPr>
                <w:rFonts w:ascii="Verdana" w:hAnsi="Verdana"/>
                <w:szCs w:val="24"/>
              </w:rPr>
              <w:t>Leased postage machine</w:t>
            </w:r>
          </w:p>
        </w:tc>
      </w:tr>
      <w:tr w:rsidR="008A2F35" w14:paraId="0921BDE8"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BBB6DAB" w14:textId="5C9E8BD8" w:rsidR="008A2F35" w:rsidRDefault="008A2F35" w:rsidP="008A2F35">
            <w:pPr>
              <w:pStyle w:val="BodyTextafterheading"/>
            </w:pPr>
            <w:r w:rsidRPr="00E81F9E">
              <w:rPr>
                <w:rFonts w:ascii="Verdana" w:hAnsi="Verdana"/>
                <w:szCs w:val="24"/>
              </w:rPr>
              <w:t>Dex YP</w:t>
            </w:r>
          </w:p>
        </w:tc>
        <w:tc>
          <w:tcPr>
            <w:tcW w:w="4675" w:type="dxa"/>
          </w:tcPr>
          <w:p w14:paraId="606B22C5" w14:textId="4967CD1D" w:rsidR="008A2F35" w:rsidRDefault="008A2F35" w:rsidP="008A2F35">
            <w:pPr>
              <w:pStyle w:val="BodyTextafterheading"/>
              <w:cnfStyle w:val="000000010000" w:firstRow="0" w:lastRow="0" w:firstColumn="0" w:lastColumn="0" w:oddVBand="0" w:evenVBand="0" w:oddHBand="0" w:evenHBand="1" w:firstRowFirstColumn="0" w:firstRowLastColumn="0" w:lastRowFirstColumn="0" w:lastRowLastColumn="0"/>
            </w:pPr>
            <w:r w:rsidRPr="00E81F9E">
              <w:rPr>
                <w:rFonts w:ascii="Verdana" w:hAnsi="Verdana"/>
                <w:szCs w:val="24"/>
              </w:rPr>
              <w:t>Phone book/yellow pages/Internet presence</w:t>
            </w:r>
          </w:p>
        </w:tc>
      </w:tr>
      <w:tr w:rsidR="008A2F35" w14:paraId="5349E6DF"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E7F14B1" w14:textId="2E349DBD" w:rsidR="008A2F35" w:rsidRDefault="008A2F35" w:rsidP="008A2F35">
            <w:pPr>
              <w:pStyle w:val="BodyTextafterheading"/>
            </w:pPr>
            <w:proofErr w:type="spellStart"/>
            <w:r w:rsidRPr="00E81F9E">
              <w:rPr>
                <w:rFonts w:ascii="Verdana" w:hAnsi="Verdana"/>
                <w:szCs w:val="24"/>
              </w:rPr>
              <w:t>Hibu</w:t>
            </w:r>
            <w:proofErr w:type="spellEnd"/>
          </w:p>
        </w:tc>
        <w:tc>
          <w:tcPr>
            <w:tcW w:w="4675" w:type="dxa"/>
          </w:tcPr>
          <w:p w14:paraId="1C49B8F9" w14:textId="33942B16" w:rsidR="008A2F35" w:rsidRDefault="008A2F35" w:rsidP="008A2F35">
            <w:pPr>
              <w:pStyle w:val="BodyTextafterheading"/>
              <w:cnfStyle w:val="000000100000" w:firstRow="0" w:lastRow="0" w:firstColumn="0" w:lastColumn="0" w:oddVBand="0" w:evenVBand="0" w:oddHBand="1" w:evenHBand="0" w:firstRowFirstColumn="0" w:firstRowLastColumn="0" w:lastRowFirstColumn="0" w:lastRowLastColumn="0"/>
            </w:pPr>
            <w:r w:rsidRPr="00E81F9E">
              <w:rPr>
                <w:rFonts w:ascii="Verdana" w:hAnsi="Verdana"/>
                <w:szCs w:val="24"/>
              </w:rPr>
              <w:t>Phone book/yellow pages/Internet presence</w:t>
            </w:r>
          </w:p>
        </w:tc>
      </w:tr>
      <w:tr w:rsidR="008A2F35" w14:paraId="27A7CEB5"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AD217A6" w14:textId="5645B326" w:rsidR="008A2F35" w:rsidRDefault="008A2F35" w:rsidP="008A2F35">
            <w:pPr>
              <w:pStyle w:val="BodyTextafterheading"/>
            </w:pPr>
            <w:r w:rsidRPr="00E81F9E">
              <w:rPr>
                <w:rFonts w:ascii="Verdana" w:hAnsi="Verdana"/>
                <w:szCs w:val="24"/>
              </w:rPr>
              <w:t>Department of Information Resources</w:t>
            </w:r>
          </w:p>
        </w:tc>
        <w:tc>
          <w:tcPr>
            <w:tcW w:w="4675" w:type="dxa"/>
          </w:tcPr>
          <w:p w14:paraId="48E22B66" w14:textId="4AF68F92" w:rsidR="008A2F35" w:rsidRDefault="008A2F35" w:rsidP="008A2F35">
            <w:pPr>
              <w:pStyle w:val="BodyTextafterheading"/>
              <w:cnfStyle w:val="000000010000" w:firstRow="0" w:lastRow="0" w:firstColumn="0" w:lastColumn="0" w:oddVBand="0" w:evenVBand="0" w:oddHBand="0" w:evenHBand="1" w:firstRowFirstColumn="0" w:firstRowLastColumn="0" w:lastRowFirstColumn="0" w:lastRowLastColumn="0"/>
            </w:pPr>
            <w:r w:rsidRPr="00E81F9E">
              <w:rPr>
                <w:rFonts w:ascii="Verdana" w:hAnsi="Verdana"/>
                <w:szCs w:val="24"/>
              </w:rPr>
              <w:t>Multi-telecommunication</w:t>
            </w:r>
          </w:p>
        </w:tc>
      </w:tr>
      <w:tr w:rsidR="008A2F35" w14:paraId="6BA77FBE"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BB1C9BF" w14:textId="6FEEBAEA" w:rsidR="008A2F35" w:rsidRDefault="008A2F35" w:rsidP="008A2F35">
            <w:pPr>
              <w:pStyle w:val="BodyTextafterheading"/>
            </w:pPr>
            <w:r w:rsidRPr="00E81F9E">
              <w:rPr>
                <w:rFonts w:ascii="Verdana" w:hAnsi="Verdana"/>
                <w:szCs w:val="24"/>
              </w:rPr>
              <w:t>Beazley Breach Response (York/Sedgwick)</w:t>
            </w:r>
          </w:p>
        </w:tc>
        <w:tc>
          <w:tcPr>
            <w:tcW w:w="4675" w:type="dxa"/>
          </w:tcPr>
          <w:p w14:paraId="1E9595FB" w14:textId="34858BE9" w:rsidR="008A2F35" w:rsidRDefault="008A2F35" w:rsidP="008A2F35">
            <w:pPr>
              <w:pStyle w:val="BodyTextafterheading"/>
              <w:cnfStyle w:val="000000100000" w:firstRow="0" w:lastRow="0" w:firstColumn="0" w:lastColumn="0" w:oddVBand="0" w:evenVBand="0" w:oddHBand="1" w:evenHBand="0" w:firstRowFirstColumn="0" w:firstRowLastColumn="0" w:lastRowFirstColumn="0" w:lastRowLastColumn="0"/>
            </w:pPr>
            <w:r w:rsidRPr="00E81F9E">
              <w:rPr>
                <w:rFonts w:ascii="Verdana" w:hAnsi="Verdana"/>
                <w:szCs w:val="24"/>
              </w:rPr>
              <w:t>Protection for breaches of information</w:t>
            </w:r>
          </w:p>
        </w:tc>
      </w:tr>
      <w:tr w:rsidR="008A2F35" w14:paraId="479A21C3"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3DC99C2" w14:textId="02552883" w:rsidR="008A2F35" w:rsidRDefault="008A2F35" w:rsidP="008A2F35">
            <w:pPr>
              <w:pStyle w:val="BodyTextafterheading"/>
            </w:pPr>
            <w:r w:rsidRPr="00E81F9E">
              <w:rPr>
                <w:rFonts w:ascii="Verdana" w:hAnsi="Verdana"/>
                <w:szCs w:val="24"/>
              </w:rPr>
              <w:t>Chase</w:t>
            </w:r>
          </w:p>
        </w:tc>
        <w:tc>
          <w:tcPr>
            <w:tcW w:w="4675" w:type="dxa"/>
          </w:tcPr>
          <w:p w14:paraId="1103532A" w14:textId="17FFEC47" w:rsidR="008A2F35" w:rsidRDefault="008A2F35" w:rsidP="008A2F35">
            <w:pPr>
              <w:pStyle w:val="BodyTextafterheading"/>
              <w:cnfStyle w:val="000000010000" w:firstRow="0" w:lastRow="0" w:firstColumn="0" w:lastColumn="0" w:oddVBand="0" w:evenVBand="0" w:oddHBand="0" w:evenHBand="1" w:firstRowFirstColumn="0" w:firstRowLastColumn="0" w:lastRowFirstColumn="0" w:lastRowLastColumn="0"/>
            </w:pPr>
            <w:r w:rsidRPr="00E81F9E">
              <w:rPr>
                <w:rFonts w:ascii="Verdana" w:hAnsi="Verdana"/>
                <w:szCs w:val="24"/>
              </w:rPr>
              <w:t>Procurement cards</w:t>
            </w:r>
          </w:p>
        </w:tc>
      </w:tr>
      <w:tr w:rsidR="008A2F35" w14:paraId="2C043D9C"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5F3FCE0" w14:textId="61F0FFB0" w:rsidR="008A2F35" w:rsidRDefault="008A2F35" w:rsidP="008A2F35">
            <w:pPr>
              <w:pStyle w:val="BodyTextafterheading"/>
            </w:pPr>
            <w:r w:rsidRPr="00E81F9E">
              <w:rPr>
                <w:rFonts w:ascii="Verdana" w:hAnsi="Verdana"/>
                <w:szCs w:val="24"/>
              </w:rPr>
              <w:t>Lone Star Overnight</w:t>
            </w:r>
          </w:p>
        </w:tc>
        <w:tc>
          <w:tcPr>
            <w:tcW w:w="4675" w:type="dxa"/>
          </w:tcPr>
          <w:p w14:paraId="7C38D9B0" w14:textId="758DF041" w:rsidR="008A2F35" w:rsidRDefault="008A2F35" w:rsidP="008A2F35">
            <w:pPr>
              <w:pStyle w:val="BodyTextafterheading"/>
              <w:cnfStyle w:val="000000100000" w:firstRow="0" w:lastRow="0" w:firstColumn="0" w:lastColumn="0" w:oddVBand="0" w:evenVBand="0" w:oddHBand="1" w:evenHBand="0" w:firstRowFirstColumn="0" w:firstRowLastColumn="0" w:lastRowFirstColumn="0" w:lastRowLastColumn="0"/>
            </w:pPr>
            <w:r w:rsidRPr="00E81F9E">
              <w:rPr>
                <w:rFonts w:ascii="Verdana" w:hAnsi="Verdana"/>
                <w:szCs w:val="24"/>
              </w:rPr>
              <w:t>Prescription delivery</w:t>
            </w:r>
            <w:r>
              <w:rPr>
                <w:rFonts w:ascii="Verdana" w:hAnsi="Verdana"/>
                <w:szCs w:val="24"/>
              </w:rPr>
              <w:t xml:space="preserve"> – </w:t>
            </w:r>
            <w:r w:rsidRPr="008A2F35">
              <w:rPr>
                <w:rFonts w:ascii="Verdana" w:hAnsi="Verdana"/>
                <w:szCs w:val="24"/>
              </w:rPr>
              <w:t>if needed</w:t>
            </w:r>
          </w:p>
        </w:tc>
      </w:tr>
      <w:tr w:rsidR="008A2F35" w14:paraId="6D21CC37"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9BC4923" w14:textId="71A00CE2" w:rsidR="008A2F35" w:rsidRDefault="008A2F35" w:rsidP="008A2F35">
            <w:pPr>
              <w:pStyle w:val="BodyTextafterheading"/>
            </w:pPr>
            <w:r w:rsidRPr="00E81F9E">
              <w:rPr>
                <w:rFonts w:ascii="Verdana" w:hAnsi="Verdana"/>
                <w:szCs w:val="24"/>
              </w:rPr>
              <w:t>Screen Cloud</w:t>
            </w:r>
          </w:p>
        </w:tc>
        <w:tc>
          <w:tcPr>
            <w:tcW w:w="4675" w:type="dxa"/>
          </w:tcPr>
          <w:p w14:paraId="074E97CA" w14:textId="241B251A" w:rsidR="008A2F35" w:rsidRDefault="008A2F35" w:rsidP="008A2F35">
            <w:pPr>
              <w:pStyle w:val="BodyTextafterheading"/>
              <w:cnfStyle w:val="000000010000" w:firstRow="0" w:lastRow="0" w:firstColumn="0" w:lastColumn="0" w:oddVBand="0" w:evenVBand="0" w:oddHBand="0" w:evenHBand="1" w:firstRowFirstColumn="0" w:firstRowLastColumn="0" w:lastRowFirstColumn="0" w:lastRowLastColumn="0"/>
            </w:pPr>
            <w:r w:rsidRPr="00E81F9E">
              <w:rPr>
                <w:rFonts w:ascii="Verdana" w:hAnsi="Verdana"/>
                <w:szCs w:val="24"/>
              </w:rPr>
              <w:t>Informational televisions in lobbies</w:t>
            </w:r>
          </w:p>
        </w:tc>
      </w:tr>
      <w:tr w:rsidR="008A2F35" w14:paraId="03464A38"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4A43DC9" w14:textId="406B189B" w:rsidR="008A2F35" w:rsidRDefault="008A2F35" w:rsidP="008A2F35">
            <w:pPr>
              <w:pStyle w:val="BodyTextafterheading"/>
            </w:pPr>
            <w:r w:rsidRPr="00E81F9E">
              <w:rPr>
                <w:rFonts w:ascii="Verdana" w:hAnsi="Verdana"/>
                <w:szCs w:val="24"/>
              </w:rPr>
              <w:t>SONT – Service Organization of North Texas</w:t>
            </w:r>
          </w:p>
        </w:tc>
        <w:tc>
          <w:tcPr>
            <w:tcW w:w="4675" w:type="dxa"/>
          </w:tcPr>
          <w:p w14:paraId="6BE31FC2" w14:textId="61D8BE6F" w:rsidR="008A2F35" w:rsidRDefault="008A2F35" w:rsidP="008A2F35">
            <w:pPr>
              <w:pStyle w:val="BodyTextafterheading"/>
              <w:cnfStyle w:val="000000100000" w:firstRow="0" w:lastRow="0" w:firstColumn="0" w:lastColumn="0" w:oddVBand="0" w:evenVBand="0" w:oddHBand="1" w:evenHBand="0" w:firstRowFirstColumn="0" w:firstRowLastColumn="0" w:lastRowFirstColumn="0" w:lastRowLastColumn="0"/>
            </w:pPr>
            <w:r w:rsidRPr="00E81F9E">
              <w:rPr>
                <w:rFonts w:ascii="Verdana" w:hAnsi="Verdana"/>
                <w:szCs w:val="24"/>
              </w:rPr>
              <w:t xml:space="preserve">Conduit for paying TWG residential in Wichita Falls </w:t>
            </w:r>
          </w:p>
        </w:tc>
      </w:tr>
      <w:tr w:rsidR="008A2F35" w14:paraId="03D7D3C3"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A99F9D2" w14:textId="612FA5BD" w:rsidR="008A2F35" w:rsidRDefault="008A2F35" w:rsidP="008A2F35">
            <w:pPr>
              <w:pStyle w:val="BodyTextafterheading"/>
            </w:pPr>
            <w:r w:rsidRPr="008A2F35">
              <w:rPr>
                <w:rFonts w:ascii="Verdana" w:hAnsi="Verdana"/>
                <w:szCs w:val="24"/>
              </w:rPr>
              <w:t>EM3 NETWORKS LLC</w:t>
            </w:r>
          </w:p>
        </w:tc>
        <w:tc>
          <w:tcPr>
            <w:tcW w:w="4675" w:type="dxa"/>
          </w:tcPr>
          <w:p w14:paraId="4011BEF7" w14:textId="7BF634F3" w:rsidR="008A2F35" w:rsidRDefault="008A2F35" w:rsidP="008A2F35">
            <w:pPr>
              <w:pStyle w:val="BodyTextafterheading"/>
              <w:cnfStyle w:val="000000010000" w:firstRow="0" w:lastRow="0" w:firstColumn="0" w:lastColumn="0" w:oddVBand="0" w:evenVBand="0" w:oddHBand="0" w:evenHBand="1" w:firstRowFirstColumn="0" w:firstRowLastColumn="0" w:lastRowFirstColumn="0" w:lastRowLastColumn="0"/>
            </w:pPr>
            <w:r w:rsidRPr="00E81F9E">
              <w:rPr>
                <w:rFonts w:ascii="Verdana" w:hAnsi="Verdana"/>
                <w:szCs w:val="24"/>
              </w:rPr>
              <w:t>Internet services</w:t>
            </w:r>
          </w:p>
        </w:tc>
      </w:tr>
      <w:tr w:rsidR="008A2F35" w14:paraId="449EA2AB"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9E3A501" w14:textId="2F5A40B2" w:rsidR="008A2F35" w:rsidRDefault="008A2F35" w:rsidP="008A2F35">
            <w:pPr>
              <w:pStyle w:val="BodyTextafterheading"/>
            </w:pPr>
            <w:r w:rsidRPr="00E81F9E">
              <w:rPr>
                <w:rFonts w:ascii="Verdana" w:hAnsi="Verdana"/>
                <w:szCs w:val="24"/>
              </w:rPr>
              <w:t>Verizon</w:t>
            </w:r>
          </w:p>
        </w:tc>
        <w:tc>
          <w:tcPr>
            <w:tcW w:w="4675" w:type="dxa"/>
          </w:tcPr>
          <w:p w14:paraId="7D3DBD93" w14:textId="3470AE3A" w:rsidR="008A2F35" w:rsidRDefault="008A2F35" w:rsidP="008A2F35">
            <w:pPr>
              <w:pStyle w:val="BodyTextafterheading"/>
              <w:cnfStyle w:val="000000100000" w:firstRow="0" w:lastRow="0" w:firstColumn="0" w:lastColumn="0" w:oddVBand="0" w:evenVBand="0" w:oddHBand="1" w:evenHBand="0" w:firstRowFirstColumn="0" w:firstRowLastColumn="0" w:lastRowFirstColumn="0" w:lastRowLastColumn="0"/>
            </w:pPr>
            <w:r w:rsidRPr="00E81F9E">
              <w:rPr>
                <w:rFonts w:ascii="Verdana" w:hAnsi="Verdana"/>
                <w:szCs w:val="24"/>
              </w:rPr>
              <w:t>Cell phone service and mobile internet</w:t>
            </w:r>
          </w:p>
        </w:tc>
      </w:tr>
      <w:tr w:rsidR="008A2F35" w14:paraId="03D4EACF"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4D3541D" w14:textId="5932EDDF" w:rsidR="008A2F35" w:rsidRDefault="008A2F35" w:rsidP="008A2F35">
            <w:pPr>
              <w:pStyle w:val="BodyTextafterheading"/>
            </w:pPr>
            <w:r w:rsidRPr="00E81F9E">
              <w:rPr>
                <w:rFonts w:ascii="Verdana" w:hAnsi="Verdana"/>
                <w:szCs w:val="24"/>
              </w:rPr>
              <w:t>Center Site</w:t>
            </w:r>
          </w:p>
        </w:tc>
        <w:tc>
          <w:tcPr>
            <w:tcW w:w="4675" w:type="dxa"/>
          </w:tcPr>
          <w:p w14:paraId="0A4E95C9" w14:textId="11DC79E1" w:rsidR="008A2F35" w:rsidRDefault="008A2F35" w:rsidP="008A2F35">
            <w:pPr>
              <w:pStyle w:val="BodyTextafterheading"/>
              <w:cnfStyle w:val="000000010000" w:firstRow="0" w:lastRow="0" w:firstColumn="0" w:lastColumn="0" w:oddVBand="0" w:evenVBand="0" w:oddHBand="0" w:evenHBand="1" w:firstRowFirstColumn="0" w:firstRowLastColumn="0" w:lastRowFirstColumn="0" w:lastRowLastColumn="0"/>
            </w:pPr>
            <w:r w:rsidRPr="00E81F9E">
              <w:rPr>
                <w:rFonts w:ascii="Verdana" w:hAnsi="Verdana"/>
                <w:szCs w:val="24"/>
              </w:rPr>
              <w:t>Web hosting</w:t>
            </w:r>
          </w:p>
        </w:tc>
      </w:tr>
      <w:tr w:rsidR="008A2F35" w14:paraId="6EA9DD8F"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A40AFD0" w14:textId="523C5580" w:rsidR="008A2F35" w:rsidRDefault="008A2F35" w:rsidP="008A2F35">
            <w:pPr>
              <w:pStyle w:val="BodyTextafterheading"/>
            </w:pPr>
            <w:r w:rsidRPr="00E81F9E">
              <w:rPr>
                <w:rFonts w:ascii="Verdana" w:hAnsi="Verdana"/>
                <w:szCs w:val="24"/>
              </w:rPr>
              <w:t>Arctic Wolf</w:t>
            </w:r>
          </w:p>
        </w:tc>
        <w:tc>
          <w:tcPr>
            <w:tcW w:w="4675" w:type="dxa"/>
          </w:tcPr>
          <w:p w14:paraId="3EA58346" w14:textId="6FA8E225" w:rsidR="008A2F35" w:rsidRDefault="008A2F35" w:rsidP="008A2F35">
            <w:pPr>
              <w:pStyle w:val="BodyTextafterheading"/>
              <w:cnfStyle w:val="000000100000" w:firstRow="0" w:lastRow="0" w:firstColumn="0" w:lastColumn="0" w:oddVBand="0" w:evenVBand="0" w:oddHBand="1" w:evenHBand="0" w:firstRowFirstColumn="0" w:firstRowLastColumn="0" w:lastRowFirstColumn="0" w:lastRowLastColumn="0"/>
            </w:pPr>
            <w:r w:rsidRPr="00E81F9E">
              <w:rPr>
                <w:rFonts w:ascii="Verdana" w:hAnsi="Verdana"/>
                <w:szCs w:val="24"/>
              </w:rPr>
              <w:t>Office 365 hosting</w:t>
            </w:r>
          </w:p>
        </w:tc>
      </w:tr>
      <w:tr w:rsidR="008A2F35" w14:paraId="010CCD9B"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5A59B95" w14:textId="3CF88CB1" w:rsidR="008A2F35" w:rsidRDefault="008A2F35" w:rsidP="008A2F35">
            <w:pPr>
              <w:pStyle w:val="BodyTextafterheading"/>
            </w:pPr>
            <w:r w:rsidRPr="00E81F9E">
              <w:rPr>
                <w:rFonts w:ascii="Verdana" w:hAnsi="Verdana"/>
                <w:szCs w:val="24"/>
              </w:rPr>
              <w:t>Provider Soft</w:t>
            </w:r>
          </w:p>
        </w:tc>
        <w:tc>
          <w:tcPr>
            <w:tcW w:w="4675" w:type="dxa"/>
          </w:tcPr>
          <w:p w14:paraId="3D4E5482" w14:textId="263A47D5" w:rsidR="008A2F35" w:rsidRDefault="008A2F35" w:rsidP="008A2F35">
            <w:pPr>
              <w:pStyle w:val="BodyTextafterheading"/>
              <w:cnfStyle w:val="000000010000" w:firstRow="0" w:lastRow="0" w:firstColumn="0" w:lastColumn="0" w:oddVBand="0" w:evenVBand="0" w:oddHBand="0" w:evenHBand="1" w:firstRowFirstColumn="0" w:firstRowLastColumn="0" w:lastRowFirstColumn="0" w:lastRowLastColumn="0"/>
            </w:pPr>
            <w:r w:rsidRPr="00E81F9E">
              <w:rPr>
                <w:rFonts w:ascii="Verdana" w:hAnsi="Verdana"/>
                <w:szCs w:val="24"/>
              </w:rPr>
              <w:t>Insurance conduit for claims</w:t>
            </w:r>
          </w:p>
        </w:tc>
      </w:tr>
      <w:tr w:rsidR="008A2F35" w14:paraId="2838D7BD"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87967EF" w14:textId="27B93FDC" w:rsidR="008A2F35" w:rsidRPr="00E81F9E" w:rsidRDefault="008A2F35" w:rsidP="008A2F35">
            <w:pPr>
              <w:pStyle w:val="BodyTextafterheading"/>
              <w:rPr>
                <w:rFonts w:ascii="Verdana" w:hAnsi="Verdana"/>
                <w:szCs w:val="24"/>
              </w:rPr>
            </w:pPr>
            <w:proofErr w:type="spellStart"/>
            <w:r>
              <w:rPr>
                <w:rFonts w:ascii="Verdana" w:hAnsi="Verdana"/>
                <w:szCs w:val="24"/>
              </w:rPr>
              <w:t>Meriplex</w:t>
            </w:r>
            <w:proofErr w:type="spellEnd"/>
          </w:p>
        </w:tc>
        <w:tc>
          <w:tcPr>
            <w:tcW w:w="4675" w:type="dxa"/>
          </w:tcPr>
          <w:p w14:paraId="449521A7" w14:textId="08D3985E" w:rsidR="008A2F35" w:rsidRPr="00E81F9E" w:rsidRDefault="008A2F35" w:rsidP="008A2F35">
            <w:pPr>
              <w:pStyle w:val="BodyTextafterheading"/>
              <w:cnfStyle w:val="000000100000" w:firstRow="0" w:lastRow="0" w:firstColumn="0" w:lastColumn="0" w:oddVBand="0" w:evenVBand="0" w:oddHBand="1" w:evenHBand="0" w:firstRowFirstColumn="0" w:firstRowLastColumn="0" w:lastRowFirstColumn="0" w:lastRowLastColumn="0"/>
              <w:rPr>
                <w:rFonts w:ascii="Verdana" w:hAnsi="Verdana"/>
                <w:szCs w:val="24"/>
              </w:rPr>
            </w:pPr>
            <w:r w:rsidRPr="00E81F9E">
              <w:rPr>
                <w:rFonts w:ascii="Verdana" w:hAnsi="Verdana"/>
                <w:szCs w:val="24"/>
              </w:rPr>
              <w:t>Fax, telecom</w:t>
            </w:r>
          </w:p>
        </w:tc>
      </w:tr>
      <w:tr w:rsidR="00A26AC0" w14:paraId="784BE319"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DF3669E" w14:textId="49C40C3A" w:rsidR="00A26AC0" w:rsidRPr="00E81F9E" w:rsidRDefault="00A26AC0" w:rsidP="00001339">
            <w:pPr>
              <w:pStyle w:val="BodyTextafterheading"/>
              <w:rPr>
                <w:rFonts w:ascii="Verdana" w:hAnsi="Verdana"/>
                <w:szCs w:val="24"/>
              </w:rPr>
            </w:pPr>
            <w:r>
              <w:rPr>
                <w:rFonts w:ascii="Verdana" w:hAnsi="Verdana"/>
                <w:szCs w:val="24"/>
              </w:rPr>
              <w:t xml:space="preserve">UMR </w:t>
            </w:r>
          </w:p>
        </w:tc>
        <w:tc>
          <w:tcPr>
            <w:tcW w:w="4675" w:type="dxa"/>
          </w:tcPr>
          <w:p w14:paraId="5DB4B335" w14:textId="46DF80BF" w:rsidR="00A26AC0" w:rsidRPr="00E81F9E" w:rsidRDefault="00A26AC0" w:rsidP="00001339">
            <w:pPr>
              <w:pStyle w:val="BodyTextafterheading"/>
              <w:cnfStyle w:val="000000010000" w:firstRow="0" w:lastRow="0" w:firstColumn="0" w:lastColumn="0" w:oddVBand="0" w:evenVBand="0" w:oddHBand="0" w:evenHBand="1" w:firstRowFirstColumn="0" w:firstRowLastColumn="0" w:lastRowFirstColumn="0" w:lastRowLastColumn="0"/>
              <w:rPr>
                <w:rFonts w:ascii="Verdana" w:hAnsi="Verdana"/>
                <w:szCs w:val="24"/>
              </w:rPr>
            </w:pPr>
            <w:r>
              <w:rPr>
                <w:rFonts w:ascii="Verdana" w:hAnsi="Verdana"/>
                <w:szCs w:val="24"/>
              </w:rPr>
              <w:t>Employee health insurance</w:t>
            </w:r>
          </w:p>
        </w:tc>
      </w:tr>
      <w:tr w:rsidR="00A26AC0" w14:paraId="0420B931"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24113F8" w14:textId="35BD68A6" w:rsidR="00A26AC0" w:rsidRPr="00E81F9E" w:rsidRDefault="008D2109" w:rsidP="00001339">
            <w:pPr>
              <w:pStyle w:val="BodyTextafterheading"/>
              <w:rPr>
                <w:rFonts w:ascii="Verdana" w:hAnsi="Verdana"/>
                <w:szCs w:val="24"/>
              </w:rPr>
            </w:pPr>
            <w:r>
              <w:rPr>
                <w:rFonts w:ascii="Verdana" w:hAnsi="Verdana"/>
                <w:szCs w:val="24"/>
              </w:rPr>
              <w:t>UHC</w:t>
            </w:r>
          </w:p>
        </w:tc>
        <w:tc>
          <w:tcPr>
            <w:tcW w:w="4675" w:type="dxa"/>
          </w:tcPr>
          <w:p w14:paraId="35A7DEF2" w14:textId="7D6B8731" w:rsidR="00A26AC0" w:rsidRPr="00E81F9E" w:rsidRDefault="008D2109" w:rsidP="00001339">
            <w:pPr>
              <w:pStyle w:val="BodyTextafterheading"/>
              <w:cnfStyle w:val="000000100000" w:firstRow="0" w:lastRow="0" w:firstColumn="0" w:lastColumn="0" w:oddVBand="0" w:evenVBand="0" w:oddHBand="1" w:evenHBand="0" w:firstRowFirstColumn="0" w:firstRowLastColumn="0" w:lastRowFirstColumn="0" w:lastRowLastColumn="0"/>
              <w:rPr>
                <w:rFonts w:ascii="Verdana" w:hAnsi="Verdana"/>
                <w:szCs w:val="24"/>
              </w:rPr>
            </w:pPr>
            <w:r>
              <w:rPr>
                <w:rFonts w:ascii="Verdana" w:hAnsi="Verdana"/>
                <w:szCs w:val="24"/>
              </w:rPr>
              <w:t>All supplementals, i.e., dental, vision, and additional insurances</w:t>
            </w:r>
          </w:p>
        </w:tc>
      </w:tr>
      <w:tr w:rsidR="00001339" w14:paraId="51112C84"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8F95532" w14:textId="4B40B1DF" w:rsidR="00001339" w:rsidRDefault="00001339" w:rsidP="00001339">
            <w:pPr>
              <w:pStyle w:val="BodyTextafterheading"/>
              <w:rPr>
                <w:rFonts w:ascii="Verdana" w:hAnsi="Verdana"/>
                <w:szCs w:val="24"/>
              </w:rPr>
            </w:pPr>
            <w:r w:rsidRPr="00E81F9E">
              <w:rPr>
                <w:rFonts w:ascii="Verdana" w:hAnsi="Verdana"/>
                <w:szCs w:val="24"/>
              </w:rPr>
              <w:t>Camp Summit</w:t>
            </w:r>
          </w:p>
        </w:tc>
        <w:tc>
          <w:tcPr>
            <w:tcW w:w="4675" w:type="dxa"/>
          </w:tcPr>
          <w:p w14:paraId="7046394D" w14:textId="0BF482CB" w:rsidR="00001339" w:rsidRPr="00E81F9E" w:rsidRDefault="00001339" w:rsidP="00001339">
            <w:pPr>
              <w:pStyle w:val="BodyTextafterheading"/>
              <w:cnfStyle w:val="000000010000" w:firstRow="0" w:lastRow="0" w:firstColumn="0" w:lastColumn="0" w:oddVBand="0" w:evenVBand="0" w:oddHBand="0" w:evenHBand="1" w:firstRowFirstColumn="0" w:firstRowLastColumn="0" w:lastRowFirstColumn="0" w:lastRowLastColumn="0"/>
              <w:rPr>
                <w:rFonts w:ascii="Verdana" w:hAnsi="Verdana"/>
                <w:szCs w:val="24"/>
              </w:rPr>
            </w:pPr>
            <w:r w:rsidRPr="00E81F9E">
              <w:rPr>
                <w:rFonts w:ascii="Verdana" w:hAnsi="Verdana"/>
                <w:szCs w:val="24"/>
              </w:rPr>
              <w:t xml:space="preserve">Respite Care/Day </w:t>
            </w:r>
            <w:proofErr w:type="spellStart"/>
            <w:r w:rsidRPr="00E81F9E">
              <w:rPr>
                <w:rFonts w:ascii="Verdana" w:hAnsi="Verdana"/>
                <w:szCs w:val="24"/>
              </w:rPr>
              <w:t>Hab</w:t>
            </w:r>
            <w:proofErr w:type="spellEnd"/>
          </w:p>
        </w:tc>
      </w:tr>
    </w:tbl>
    <w:p w14:paraId="399C916B" w14:textId="64F3580F" w:rsidR="00D21E16" w:rsidRPr="00F976EC" w:rsidRDefault="000967CA" w:rsidP="00D37E78">
      <w:pPr>
        <w:pStyle w:val="BodyText"/>
        <w:spacing w:before="120" w:after="0"/>
        <w:rPr>
          <w:rStyle w:val="Strong"/>
        </w:rPr>
      </w:pPr>
      <w:r>
        <w:br/>
      </w:r>
      <w:r w:rsidR="00D21E16" w:rsidRPr="00F976EC">
        <w:rPr>
          <w:rStyle w:val="Strong"/>
        </w:rPr>
        <w:t xml:space="preserve">Table </w:t>
      </w:r>
      <w:r w:rsidR="000E09DF">
        <w:rPr>
          <w:rStyle w:val="Strong"/>
        </w:rPr>
        <w:t>6</w:t>
      </w:r>
      <w:r w:rsidR="00720A88">
        <w:rPr>
          <w:rStyle w:val="Strong"/>
        </w:rPr>
        <w:t xml:space="preserve">: </w:t>
      </w:r>
      <w:r w:rsidR="00A85B10">
        <w:rPr>
          <w:rStyle w:val="Strong"/>
        </w:rPr>
        <w:t>Individual Practi</w:t>
      </w:r>
      <w:r w:rsidR="00852D2D">
        <w:rPr>
          <w:rStyle w:val="Strong"/>
        </w:rPr>
        <w:t>tioners</w:t>
      </w:r>
    </w:p>
    <w:tbl>
      <w:tblPr>
        <w:tblStyle w:val="HHSTableforTextData"/>
        <w:tblW w:w="0" w:type="auto"/>
        <w:tblLook w:val="04A0" w:firstRow="1" w:lastRow="0" w:firstColumn="1" w:lastColumn="0" w:noHBand="0" w:noVBand="1"/>
      </w:tblPr>
      <w:tblGrid>
        <w:gridCol w:w="4675"/>
        <w:gridCol w:w="4675"/>
      </w:tblGrid>
      <w:tr w:rsidR="00C23CD6" w14:paraId="30A52C13" w14:textId="77777777" w:rsidTr="00C23C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C50B961" w14:textId="3D183673" w:rsidR="00C23CD6" w:rsidRDefault="00C23CD6" w:rsidP="002E77BD">
            <w:pPr>
              <w:pStyle w:val="BodyTextafterheading"/>
            </w:pPr>
            <w:r>
              <w:t>Individual Practitioner</w:t>
            </w:r>
          </w:p>
        </w:tc>
        <w:tc>
          <w:tcPr>
            <w:tcW w:w="4675" w:type="dxa"/>
          </w:tcPr>
          <w:p w14:paraId="6FE49E98" w14:textId="67ED7D0F" w:rsidR="00C23CD6" w:rsidRDefault="00C23CD6" w:rsidP="002E77BD">
            <w:pPr>
              <w:pStyle w:val="BodyTextafterheading"/>
              <w:cnfStyle w:val="100000000000" w:firstRow="1" w:lastRow="0" w:firstColumn="0" w:lastColumn="0" w:oddVBand="0" w:evenVBand="0" w:oddHBand="0" w:evenHBand="0" w:firstRowFirstColumn="0" w:firstRowLastColumn="0" w:lastRowFirstColumn="0" w:lastRowLastColumn="0"/>
            </w:pPr>
            <w:r>
              <w:t>Service(s)</w:t>
            </w:r>
          </w:p>
        </w:tc>
      </w:tr>
      <w:tr w:rsidR="00274A9E" w14:paraId="07D044F4"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B989C4F" w14:textId="0DC9E2A1" w:rsidR="00274A9E" w:rsidRDefault="00274A9E" w:rsidP="00274A9E">
            <w:pPr>
              <w:pStyle w:val="BodyTextafterheading"/>
            </w:pPr>
            <w:r>
              <w:rPr>
                <w:rFonts w:ascii="Verdana" w:hAnsi="Verdana"/>
              </w:rPr>
              <w:t xml:space="preserve">Stacey Shipley, </w:t>
            </w:r>
            <w:proofErr w:type="spellStart"/>
            <w:r>
              <w:rPr>
                <w:rFonts w:ascii="Verdana" w:hAnsi="Verdana"/>
              </w:rPr>
              <w:t>Psy.D</w:t>
            </w:r>
            <w:proofErr w:type="spellEnd"/>
          </w:p>
        </w:tc>
        <w:tc>
          <w:tcPr>
            <w:tcW w:w="4675" w:type="dxa"/>
          </w:tcPr>
          <w:p w14:paraId="38B16083" w14:textId="150805DE" w:rsidR="00274A9E" w:rsidRDefault="00274A9E" w:rsidP="00274A9E">
            <w:pPr>
              <w:pStyle w:val="BodyTextafterheading"/>
              <w:cnfStyle w:val="000000100000" w:firstRow="0" w:lastRow="0" w:firstColumn="0" w:lastColumn="0" w:oddVBand="0" w:evenVBand="0" w:oddHBand="1" w:evenHBand="0" w:firstRowFirstColumn="0" w:firstRowLastColumn="0" w:lastRowFirstColumn="0" w:lastRowLastColumn="0"/>
            </w:pPr>
            <w:r>
              <w:rPr>
                <w:rFonts w:ascii="Verdana" w:hAnsi="Verdana"/>
              </w:rPr>
              <w:t>Psychological Testing</w:t>
            </w:r>
          </w:p>
        </w:tc>
      </w:tr>
    </w:tbl>
    <w:p w14:paraId="6276AECD" w14:textId="77777777" w:rsidR="002E77BD" w:rsidRPr="007F14BF" w:rsidRDefault="002E77BD" w:rsidP="000967CA">
      <w:pPr>
        <w:pStyle w:val="Heading3"/>
        <w:rPr>
          <w:rStyle w:val="Strong"/>
          <w:bCs w:val="0"/>
        </w:rPr>
      </w:pPr>
      <w:r w:rsidRPr="007F14BF">
        <w:rPr>
          <w:rStyle w:val="Strong"/>
          <w:b/>
          <w:bCs w:val="0"/>
        </w:rPr>
        <w:t>Administrative Efficiencies</w:t>
      </w:r>
    </w:p>
    <w:p w14:paraId="32B605CB" w14:textId="78132690" w:rsidR="002E77BD" w:rsidRPr="00EA545E" w:rsidRDefault="002E77BD" w:rsidP="00B0545B">
      <w:pPr>
        <w:pStyle w:val="BodyTextafterheading"/>
        <w:numPr>
          <w:ilvl w:val="0"/>
          <w:numId w:val="16"/>
        </w:numPr>
      </w:pPr>
      <w:r w:rsidRPr="00EA545E">
        <w:t>Using bullet format, describe the strategies the LMHA or LBHA is using to minimize overhead and administrative costs and achieve purchasing and other administrative efficiencies, as required by the state legislature (see Appendix C).</w:t>
      </w:r>
    </w:p>
    <w:p w14:paraId="55E28B6B" w14:textId="633E902A" w:rsidR="00644412" w:rsidRPr="00F5246C" w:rsidRDefault="008D2109" w:rsidP="00B0545B">
      <w:pPr>
        <w:pStyle w:val="BodyText"/>
        <w:numPr>
          <w:ilvl w:val="0"/>
          <w:numId w:val="18"/>
        </w:numPr>
        <w:rPr>
          <w:i/>
          <w:iCs/>
        </w:rPr>
      </w:pPr>
      <w:r w:rsidRPr="00434F84">
        <w:rPr>
          <w:rFonts w:ascii="Verdana" w:hAnsi="Verdana"/>
        </w:rPr>
        <w:t>The Center has been awarded additional programs to include OSAR, ECI, SAMSHA, SB 29</w:t>
      </w:r>
      <w:r>
        <w:rPr>
          <w:rFonts w:ascii="Verdana" w:hAnsi="Verdana"/>
        </w:rPr>
        <w:t>2</w:t>
      </w:r>
      <w:r w:rsidRPr="00434F84">
        <w:rPr>
          <w:rFonts w:ascii="Verdana" w:hAnsi="Verdana"/>
        </w:rPr>
        <w:t xml:space="preserve">, HB 13, RSS, </w:t>
      </w:r>
      <w:r w:rsidR="008F72CC">
        <w:rPr>
          <w:rFonts w:ascii="Verdana" w:hAnsi="Verdana"/>
        </w:rPr>
        <w:t xml:space="preserve">Rider 48, </w:t>
      </w:r>
      <w:r w:rsidRPr="00434F84">
        <w:rPr>
          <w:rFonts w:ascii="Verdana" w:hAnsi="Verdana"/>
        </w:rPr>
        <w:t>etc. without increasing administrative staff.</w:t>
      </w:r>
    </w:p>
    <w:p w14:paraId="63C76B9F" w14:textId="6192D170" w:rsidR="00F5246C" w:rsidRPr="00EA545E" w:rsidRDefault="00F5246C" w:rsidP="00B0545B">
      <w:pPr>
        <w:pStyle w:val="BodyText"/>
        <w:numPr>
          <w:ilvl w:val="0"/>
          <w:numId w:val="18"/>
        </w:numPr>
        <w:rPr>
          <w:i/>
          <w:iCs/>
        </w:rPr>
      </w:pPr>
      <w:r w:rsidRPr="00EA545E">
        <w:t>Some regional centers have been combined under a single manager to reduce overhead expense.</w:t>
      </w:r>
    </w:p>
    <w:p w14:paraId="4FC54331" w14:textId="04FC195D" w:rsidR="00F5246C" w:rsidRPr="00EA545E" w:rsidRDefault="00F5246C" w:rsidP="00B0545B">
      <w:pPr>
        <w:pStyle w:val="BodyText"/>
        <w:numPr>
          <w:ilvl w:val="0"/>
          <w:numId w:val="18"/>
        </w:numPr>
        <w:rPr>
          <w:i/>
          <w:iCs/>
        </w:rPr>
      </w:pPr>
      <w:r w:rsidRPr="00EA545E">
        <w:t xml:space="preserve">Some clinic sites in less populated areas have reduced days of service during the week. </w:t>
      </w:r>
    </w:p>
    <w:p w14:paraId="1591B413" w14:textId="3FC6E8C9" w:rsidR="00F5246C" w:rsidRPr="00EA545E" w:rsidRDefault="00F5246C" w:rsidP="00B0545B">
      <w:pPr>
        <w:pStyle w:val="BodyText"/>
        <w:numPr>
          <w:ilvl w:val="0"/>
          <w:numId w:val="18"/>
        </w:numPr>
        <w:rPr>
          <w:i/>
          <w:iCs/>
        </w:rPr>
      </w:pPr>
      <w:r w:rsidRPr="00EA545E">
        <w:t xml:space="preserve">Purchasing is processed through one office to track and control expenditures. </w:t>
      </w:r>
    </w:p>
    <w:p w14:paraId="5C08CC62" w14:textId="63D353E1" w:rsidR="00F5246C" w:rsidRPr="00EA545E" w:rsidRDefault="00F5246C" w:rsidP="00B0545B">
      <w:pPr>
        <w:pStyle w:val="BodyText"/>
        <w:numPr>
          <w:ilvl w:val="0"/>
          <w:numId w:val="18"/>
        </w:numPr>
        <w:rPr>
          <w:i/>
          <w:iCs/>
        </w:rPr>
      </w:pPr>
      <w:r w:rsidRPr="00EA545E">
        <w:t xml:space="preserve">Financial Assessments are reviewed annually and include the collection of third-party billing information. </w:t>
      </w:r>
    </w:p>
    <w:p w14:paraId="3332C3A9" w14:textId="5BDA8FC4" w:rsidR="002E77BD" w:rsidRPr="00EA545E" w:rsidRDefault="002E77BD" w:rsidP="00CF6F6B">
      <w:pPr>
        <w:pStyle w:val="BodyTextafterheading"/>
        <w:numPr>
          <w:ilvl w:val="0"/>
          <w:numId w:val="16"/>
        </w:numPr>
      </w:pPr>
      <w:r w:rsidRPr="00EA545E">
        <w:t>List partnerships with other LMHAs and LBHAs related to planning, administration, purchasing, and procurement or other authority functions, or service delivery</w:t>
      </w:r>
      <w:r w:rsidR="00CF6F6B" w:rsidRPr="00EA545E">
        <w:t xml:space="preserve"> in </w:t>
      </w:r>
      <w:r w:rsidR="009676DC" w:rsidRPr="00EA545E">
        <w:t>t</w:t>
      </w:r>
      <w:r w:rsidR="00CF6F6B" w:rsidRPr="00EA545E">
        <w:t xml:space="preserve">able </w:t>
      </w:r>
      <w:r w:rsidR="000E09DF" w:rsidRPr="00EA545E">
        <w:t>7</w:t>
      </w:r>
      <w:r w:rsidRPr="00EA545E">
        <w:t>. Include only current</w:t>
      </w:r>
      <w:r w:rsidR="009E304A" w:rsidRPr="00EA545E">
        <w:t xml:space="preserve"> and</w:t>
      </w:r>
      <w:r w:rsidRPr="00EA545E">
        <w:t xml:space="preserve"> ongoing partnerships.</w:t>
      </w:r>
    </w:p>
    <w:p w14:paraId="70C291FF" w14:textId="584491FD" w:rsidR="00497A2E" w:rsidRPr="001261C3" w:rsidRDefault="00497A2E" w:rsidP="00A004B7">
      <w:pPr>
        <w:pStyle w:val="BodyText"/>
        <w:spacing w:after="0"/>
        <w:rPr>
          <w:rStyle w:val="Strong"/>
        </w:rPr>
      </w:pPr>
      <w:r w:rsidRPr="001261C3">
        <w:rPr>
          <w:rStyle w:val="Strong"/>
        </w:rPr>
        <w:t xml:space="preserve">Table </w:t>
      </w:r>
      <w:r w:rsidR="000E09DF">
        <w:rPr>
          <w:rStyle w:val="Strong"/>
        </w:rPr>
        <w:t>7</w:t>
      </w:r>
      <w:r w:rsidR="001D1136">
        <w:rPr>
          <w:rStyle w:val="Strong"/>
        </w:rPr>
        <w:t xml:space="preserve">: </w:t>
      </w:r>
      <w:r w:rsidR="00A36A56">
        <w:rPr>
          <w:rStyle w:val="Strong"/>
        </w:rPr>
        <w:t xml:space="preserve">LMHA </w:t>
      </w:r>
      <w:r w:rsidR="005013B2">
        <w:rPr>
          <w:rStyle w:val="Strong"/>
        </w:rPr>
        <w:t>or LBHA Partnerships</w:t>
      </w:r>
    </w:p>
    <w:tbl>
      <w:tblPr>
        <w:tblStyle w:val="HHSTableforTextData"/>
        <w:tblW w:w="0" w:type="auto"/>
        <w:tblLook w:val="04A0" w:firstRow="1" w:lastRow="0" w:firstColumn="1" w:lastColumn="0" w:noHBand="0" w:noVBand="1"/>
      </w:tblPr>
      <w:tblGrid>
        <w:gridCol w:w="3116"/>
        <w:gridCol w:w="3117"/>
        <w:gridCol w:w="3117"/>
      </w:tblGrid>
      <w:tr w:rsidR="00497A2E" w14:paraId="3B09B3AD" w14:textId="77777777" w:rsidTr="00497A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7A526E9" w14:textId="6CEC3141" w:rsidR="00497A2E" w:rsidRDefault="00497A2E" w:rsidP="002E77BD">
            <w:pPr>
              <w:pStyle w:val="BodyTextafterheading"/>
            </w:pPr>
            <w:r>
              <w:t>Start Date</w:t>
            </w:r>
          </w:p>
        </w:tc>
        <w:tc>
          <w:tcPr>
            <w:tcW w:w="3117" w:type="dxa"/>
          </w:tcPr>
          <w:p w14:paraId="65D25EC8" w14:textId="72C6C586" w:rsidR="00497A2E" w:rsidRDefault="00497A2E" w:rsidP="002E77BD">
            <w:pPr>
              <w:pStyle w:val="BodyTextafterheading"/>
              <w:cnfStyle w:val="100000000000" w:firstRow="1" w:lastRow="0" w:firstColumn="0" w:lastColumn="0" w:oddVBand="0" w:evenVBand="0" w:oddHBand="0" w:evenHBand="0" w:firstRowFirstColumn="0" w:firstRowLastColumn="0" w:lastRowFirstColumn="0" w:lastRowLastColumn="0"/>
            </w:pPr>
            <w:r>
              <w:t>Partner(s)</w:t>
            </w:r>
          </w:p>
        </w:tc>
        <w:tc>
          <w:tcPr>
            <w:tcW w:w="3117" w:type="dxa"/>
          </w:tcPr>
          <w:p w14:paraId="528B09F4" w14:textId="6AA8F104" w:rsidR="00497A2E" w:rsidRDefault="00497A2E" w:rsidP="002E77BD">
            <w:pPr>
              <w:pStyle w:val="BodyTextafterheading"/>
              <w:cnfStyle w:val="100000000000" w:firstRow="1" w:lastRow="0" w:firstColumn="0" w:lastColumn="0" w:oddVBand="0" w:evenVBand="0" w:oddHBand="0" w:evenHBand="0" w:firstRowFirstColumn="0" w:firstRowLastColumn="0" w:lastRowFirstColumn="0" w:lastRowLastColumn="0"/>
            </w:pPr>
            <w:r>
              <w:t>Functions</w:t>
            </w:r>
          </w:p>
        </w:tc>
      </w:tr>
      <w:tr w:rsidR="00497A2E" w14:paraId="60E90BA6" w14:textId="77777777" w:rsidTr="0049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E3ECC1C" w14:textId="516F3CD8" w:rsidR="00497A2E" w:rsidRDefault="00274A9E" w:rsidP="002E77BD">
            <w:pPr>
              <w:pStyle w:val="BodyTextafterheading"/>
            </w:pPr>
            <w:r>
              <w:t>1/13/2013</w:t>
            </w:r>
          </w:p>
        </w:tc>
        <w:tc>
          <w:tcPr>
            <w:tcW w:w="3117" w:type="dxa"/>
          </w:tcPr>
          <w:p w14:paraId="4A294D53" w14:textId="4567935B" w:rsidR="00497A2E" w:rsidRDefault="00274A9E" w:rsidP="002E77BD">
            <w:pPr>
              <w:pStyle w:val="BodyTextafterheading"/>
              <w:cnfStyle w:val="000000100000" w:firstRow="0" w:lastRow="0" w:firstColumn="0" w:lastColumn="0" w:oddVBand="0" w:evenVBand="0" w:oddHBand="1" w:evenHBand="0" w:firstRowFirstColumn="0" w:firstRowLastColumn="0" w:lastRowFirstColumn="0" w:lastRowLastColumn="0"/>
            </w:pPr>
            <w:r>
              <w:t xml:space="preserve">Pecan Valley, Denton, </w:t>
            </w:r>
            <w:proofErr w:type="spellStart"/>
            <w:r>
              <w:t>StarCare</w:t>
            </w:r>
            <w:proofErr w:type="spellEnd"/>
            <w:r>
              <w:t>, Central Plains, and Gulf Coast</w:t>
            </w:r>
          </w:p>
        </w:tc>
        <w:tc>
          <w:tcPr>
            <w:tcW w:w="3117" w:type="dxa"/>
          </w:tcPr>
          <w:p w14:paraId="2D884C6F" w14:textId="06BEECD5" w:rsidR="00497A2E" w:rsidRDefault="00274A9E" w:rsidP="002E77BD">
            <w:pPr>
              <w:pStyle w:val="BodyTextafterheading"/>
              <w:cnfStyle w:val="000000100000" w:firstRow="0" w:lastRow="0" w:firstColumn="0" w:lastColumn="0" w:oddVBand="0" w:evenVBand="0" w:oddHBand="1" w:evenHBand="0" w:firstRowFirstColumn="0" w:firstRowLastColumn="0" w:lastRowFirstColumn="0" w:lastRowLastColumn="0"/>
            </w:pPr>
            <w:r w:rsidRPr="000D3653">
              <w:rPr>
                <w:rFonts w:ascii="Verdana" w:hAnsi="Verdana"/>
              </w:rPr>
              <w:t xml:space="preserve">Formed the Group </w:t>
            </w:r>
            <w:proofErr w:type="spellStart"/>
            <w:r w:rsidRPr="000D3653">
              <w:rPr>
                <w:rFonts w:ascii="Verdana" w:hAnsi="Verdana"/>
              </w:rPr>
              <w:t>TxAce</w:t>
            </w:r>
            <w:proofErr w:type="spellEnd"/>
            <w:r w:rsidRPr="000D3653">
              <w:rPr>
                <w:rFonts w:ascii="Verdana" w:hAnsi="Verdana"/>
              </w:rPr>
              <w:t xml:space="preserve"> to purchase both clinical and financial software. </w:t>
            </w:r>
          </w:p>
        </w:tc>
      </w:tr>
    </w:tbl>
    <w:p w14:paraId="140101B5" w14:textId="77777777" w:rsidR="002E77BD" w:rsidRPr="00683B9D" w:rsidRDefault="002E77BD" w:rsidP="000967CA">
      <w:pPr>
        <w:pStyle w:val="Heading3"/>
      </w:pPr>
      <w:r w:rsidRPr="00683B9D">
        <w:t>Provider Availability</w:t>
      </w:r>
    </w:p>
    <w:p w14:paraId="47204346" w14:textId="3E1D52A2" w:rsidR="00A1342A" w:rsidRDefault="002E77BD" w:rsidP="00A1342A">
      <w:pPr>
        <w:pStyle w:val="BodyTextafterheading"/>
      </w:pPr>
      <w:r>
        <w:t xml:space="preserve">The LPND process is specific to provider organizations interested in providing full </w:t>
      </w:r>
      <w:r w:rsidR="00C968F8">
        <w:t>LOCs</w:t>
      </w:r>
      <w:r>
        <w:t xml:space="preserve"> to the non-Medicaid population or specialty services. It is not necessary to assess the availability of individual practitioners. Procurement for the services of individual practitioners is governed by local needs and priorities.</w:t>
      </w:r>
    </w:p>
    <w:p w14:paraId="0953CDDC" w14:textId="77777777" w:rsidR="005A2D47" w:rsidRPr="00EA545E" w:rsidRDefault="004B2F5D" w:rsidP="00D55405">
      <w:pPr>
        <w:pStyle w:val="BodyTextafterheading"/>
        <w:numPr>
          <w:ilvl w:val="0"/>
          <w:numId w:val="16"/>
        </w:numPr>
      </w:pPr>
      <w:r w:rsidRPr="00EA545E">
        <w:t xml:space="preserve">Using bullet format, describe steps the LMHA or LBHA took to identify potential external providers for this planning cycle. Be as specific as possible. </w:t>
      </w:r>
    </w:p>
    <w:p w14:paraId="62051EE1" w14:textId="7B9B923C" w:rsidR="00D55405" w:rsidRDefault="004B2F5D" w:rsidP="00E215B3">
      <w:pPr>
        <w:pStyle w:val="BodyTextafterheading"/>
        <w:ind w:left="1080"/>
      </w:pPr>
      <w:r w:rsidRPr="004B2F5D">
        <w:t xml:space="preserve">For example, if you posted information on your website, explain how </w:t>
      </w:r>
      <w:r w:rsidR="007167DD">
        <w:t>providers were</w:t>
      </w:r>
      <w:r w:rsidR="007167DD" w:rsidRPr="004B2F5D">
        <w:t xml:space="preserve"> </w:t>
      </w:r>
      <w:r w:rsidRPr="004B2F5D">
        <w:t xml:space="preserve">notified the information was available. </w:t>
      </w:r>
      <w:r w:rsidR="0018158C">
        <w:t>Describe</w:t>
      </w:r>
      <w:r w:rsidRPr="004B2F5D">
        <w:t xml:space="preserve"> contact</w:t>
      </w:r>
      <w:r w:rsidR="0018158C">
        <w:t>s with</w:t>
      </w:r>
      <w:r w:rsidRPr="004B2F5D">
        <w:t xml:space="preserve"> your existing network, Managed Care Organizations, </w:t>
      </w:r>
      <w:r w:rsidR="00EC41D2">
        <w:t>past providers</w:t>
      </w:r>
      <w:r w:rsidR="007167DD">
        <w:t xml:space="preserve"> </w:t>
      </w:r>
      <w:r w:rsidRPr="004B2F5D">
        <w:t xml:space="preserve">and other behavioral health </w:t>
      </w:r>
      <w:r w:rsidR="007167DD">
        <w:t xml:space="preserve">providers and </w:t>
      </w:r>
      <w:r w:rsidRPr="004B2F5D">
        <w:t xml:space="preserve">organizations in the local service area via phone and email. </w:t>
      </w:r>
      <w:r w:rsidR="0018158C">
        <w:t xml:space="preserve">Include information on </w:t>
      </w:r>
      <w:r w:rsidRPr="004B2F5D">
        <w:t>me</w:t>
      </w:r>
      <w:r w:rsidR="0018158C">
        <w:t>e</w:t>
      </w:r>
      <w:r w:rsidRPr="004B2F5D">
        <w:t>t</w:t>
      </w:r>
      <w:r w:rsidR="0018158C">
        <w:t>ings</w:t>
      </w:r>
      <w:r w:rsidRPr="004B2F5D">
        <w:t xml:space="preserve"> with stakeholders, networking events and input from your PNAC about local providers.</w:t>
      </w:r>
    </w:p>
    <w:p w14:paraId="05385C9A" w14:textId="469DF02C" w:rsidR="00D55405" w:rsidRDefault="00274A9E" w:rsidP="00BB197B">
      <w:pPr>
        <w:pStyle w:val="BodyTextafterheading"/>
        <w:numPr>
          <w:ilvl w:val="0"/>
          <w:numId w:val="22"/>
        </w:numPr>
        <w:rPr>
          <w:rFonts w:ascii="Verdana" w:hAnsi="Verdana"/>
        </w:rPr>
      </w:pPr>
      <w:r w:rsidRPr="007F019D">
        <w:rPr>
          <w:rFonts w:ascii="Verdana" w:hAnsi="Verdana"/>
        </w:rPr>
        <w:t>The LMHA maintains provider inquiry information on our website and have received no requests or inquiries regarding the provision of full Level of Care services or discrete services beyond the contracts we currently maintain.</w:t>
      </w:r>
    </w:p>
    <w:p w14:paraId="6AE4EBF5" w14:textId="77A0A9F0" w:rsidR="00274A9E" w:rsidRDefault="00274A9E" w:rsidP="00274A9E">
      <w:pPr>
        <w:pStyle w:val="BodyText"/>
        <w:numPr>
          <w:ilvl w:val="0"/>
          <w:numId w:val="27"/>
        </w:numPr>
      </w:pPr>
      <w:r>
        <w:t xml:space="preserve">The LMHA has not received any notification from DSHS/HHSC regarding a provider interested in contracting for discrete or LOC services. </w:t>
      </w:r>
    </w:p>
    <w:p w14:paraId="5E31DFD6" w14:textId="7BA96C19" w:rsidR="00274A9E" w:rsidRPr="00274A9E" w:rsidRDefault="00274A9E" w:rsidP="00274A9E">
      <w:pPr>
        <w:pStyle w:val="BodyText"/>
        <w:numPr>
          <w:ilvl w:val="0"/>
          <w:numId w:val="27"/>
        </w:numPr>
      </w:pPr>
      <w:r>
        <w:t xml:space="preserve">The LMHA maintains contracts for discrete services </w:t>
      </w:r>
      <w:r w:rsidR="00C8269F">
        <w:t xml:space="preserve">including crisis hotline services and the operation of our Crisis Respite Unit through private providers.  These contracts have continued each </w:t>
      </w:r>
      <w:r w:rsidR="00001339">
        <w:t>year,</w:t>
      </w:r>
      <w:r w:rsidR="00C8269F">
        <w:t xml:space="preserve"> and it is our goal to pursue contracting when financially feasible and in the best interest of the community.  </w:t>
      </w:r>
    </w:p>
    <w:p w14:paraId="3BFA2FEC" w14:textId="16D1010D" w:rsidR="00F976EC" w:rsidRPr="00EA545E" w:rsidRDefault="002E77BD" w:rsidP="00274A9E">
      <w:pPr>
        <w:pStyle w:val="BodyText"/>
        <w:numPr>
          <w:ilvl w:val="0"/>
          <w:numId w:val="16"/>
        </w:numPr>
      </w:pPr>
      <w:r w:rsidRPr="00EA545E">
        <w:t xml:space="preserve">Complete </w:t>
      </w:r>
      <w:r w:rsidR="00BB197B" w:rsidRPr="00EA545E">
        <w:t>t</w:t>
      </w:r>
      <w:r w:rsidR="00FD7A50" w:rsidRPr="00EA545E">
        <w:t xml:space="preserve">able </w:t>
      </w:r>
      <w:r w:rsidR="000E09DF" w:rsidRPr="00EA545E">
        <w:t>8</w:t>
      </w:r>
      <w:r w:rsidR="00F85D32" w:rsidRPr="00EA545E">
        <w:t xml:space="preserve"> by l</w:t>
      </w:r>
      <w:r w:rsidRPr="00EA545E">
        <w:t>ist</w:t>
      </w:r>
      <w:r w:rsidR="00F85D32" w:rsidRPr="00EA545E">
        <w:t>ing</w:t>
      </w:r>
      <w:r w:rsidRPr="00EA545E">
        <w:t xml:space="preserve"> each potential provider identified during the process described </w:t>
      </w:r>
      <w:r w:rsidR="00CC07E1" w:rsidRPr="00EA545E">
        <w:t>above</w:t>
      </w:r>
      <w:r w:rsidRPr="00EA545E">
        <w:t xml:space="preserve">. Include all current contractors, provider organizations that registered on the HHSC website, and provider organizations that have submitted written inquiries since submission of </w:t>
      </w:r>
      <w:r w:rsidR="00B42223" w:rsidRPr="00EA545E">
        <w:t xml:space="preserve">the fiscal year </w:t>
      </w:r>
      <w:r w:rsidR="00F85D32" w:rsidRPr="00EA545E">
        <w:t>2023</w:t>
      </w:r>
      <w:r w:rsidRPr="00EA545E">
        <w:t xml:space="preserve"> LPND plan. </w:t>
      </w:r>
      <w:r w:rsidR="00C04BC1" w:rsidRPr="00EA545E">
        <w:t xml:space="preserve">HHSC will notify an LMHA or LBHA if a provider expresses interest in contracting via the HHSC website. HHSC will accept new provider inquiry forms through the HHSC website from September 1, </w:t>
      </w:r>
      <w:r w:rsidR="00C85AE8" w:rsidRPr="00EA545E">
        <w:t>2024,</w:t>
      </w:r>
      <w:r w:rsidR="00C04BC1" w:rsidRPr="00EA545E">
        <w:t xml:space="preserve"> through December 1, 2024.</w:t>
      </w:r>
      <w:r w:rsidR="00B16DD2" w:rsidRPr="00EA545E">
        <w:t xml:space="preserve"> When completing the table:</w:t>
      </w:r>
    </w:p>
    <w:p w14:paraId="10F10067" w14:textId="77777777" w:rsidR="00664507" w:rsidRPr="00EA545E" w:rsidRDefault="00664507" w:rsidP="00664507">
      <w:pPr>
        <w:pStyle w:val="BodyTextafterheading"/>
        <w:numPr>
          <w:ilvl w:val="0"/>
          <w:numId w:val="13"/>
        </w:numPr>
      </w:pPr>
      <w:r w:rsidRPr="00EA545E">
        <w:t xml:space="preserve">Note the source used to identify the provider (e.g., current contract, HHSC website, LMHA or LBHA website, e-mail, written inquiry). </w:t>
      </w:r>
    </w:p>
    <w:p w14:paraId="2D0E05C2" w14:textId="77777777" w:rsidR="00827D6B" w:rsidRPr="00EA545E" w:rsidRDefault="00664507" w:rsidP="00827D6B">
      <w:pPr>
        <w:pStyle w:val="BodyTextafterheading"/>
        <w:numPr>
          <w:ilvl w:val="0"/>
          <w:numId w:val="13"/>
        </w:numPr>
      </w:pPr>
      <w:r w:rsidRPr="00EA545E">
        <w:t>Summarize the content of the follow-up contact described in Appendix A. If the provider did not respond to your invitation within 14 days, document your actions and the provider’s response. In the final column, note the conclusion regarding the provider’s availability. For those deemed to be potential providers, include the type of services the provider can provide and the provider’s service capacity.</w:t>
      </w:r>
    </w:p>
    <w:p w14:paraId="5D48D535" w14:textId="5680FA45" w:rsidR="00827D6B" w:rsidRPr="00EA545E" w:rsidRDefault="00827D6B" w:rsidP="00827D6B">
      <w:pPr>
        <w:pStyle w:val="BodyTextafterheading"/>
      </w:pPr>
      <w:r w:rsidRPr="00EA545E">
        <w:t>Do not finalize your provider availability assessment or post the LPND plan for public comment before September 1, 2024.</w:t>
      </w:r>
    </w:p>
    <w:p w14:paraId="20E0364E" w14:textId="413CA9F5" w:rsidR="001261C3" w:rsidRPr="001261C3" w:rsidRDefault="001261C3" w:rsidP="00AF56CD">
      <w:pPr>
        <w:pStyle w:val="BodyText"/>
        <w:spacing w:after="0"/>
        <w:rPr>
          <w:rStyle w:val="Strong"/>
        </w:rPr>
      </w:pPr>
      <w:r w:rsidRPr="00EA545E">
        <w:rPr>
          <w:rStyle w:val="Strong"/>
        </w:rPr>
        <w:t xml:space="preserve">Table </w:t>
      </w:r>
      <w:r w:rsidR="005715B3" w:rsidRPr="00EA545E">
        <w:rPr>
          <w:rStyle w:val="Strong"/>
        </w:rPr>
        <w:t>8</w:t>
      </w:r>
      <w:r w:rsidR="0024184C" w:rsidRPr="00EA545E">
        <w:rPr>
          <w:rStyle w:val="Strong"/>
        </w:rPr>
        <w:t xml:space="preserve">: </w:t>
      </w:r>
      <w:r w:rsidR="00411960" w:rsidRPr="00EA545E">
        <w:rPr>
          <w:rStyle w:val="Strong"/>
        </w:rPr>
        <w:t>Potential Providers</w:t>
      </w:r>
    </w:p>
    <w:tbl>
      <w:tblPr>
        <w:tblStyle w:val="HHSTableforTextData"/>
        <w:tblW w:w="0" w:type="auto"/>
        <w:tblLook w:val="04A0" w:firstRow="1" w:lastRow="0" w:firstColumn="1" w:lastColumn="0" w:noHBand="0" w:noVBand="1"/>
      </w:tblPr>
      <w:tblGrid>
        <w:gridCol w:w="2337"/>
        <w:gridCol w:w="2337"/>
        <w:gridCol w:w="2338"/>
        <w:gridCol w:w="2338"/>
      </w:tblGrid>
      <w:tr w:rsidR="00752A74" w14:paraId="472D5FF0" w14:textId="77777777" w:rsidTr="00EA54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110AA9AF" w14:textId="0C925819" w:rsidR="00752A74" w:rsidRDefault="00752A74" w:rsidP="00AD67B9">
            <w:pPr>
              <w:pStyle w:val="BodyTextafterheading"/>
            </w:pPr>
            <w:r>
              <w:t>Provider</w:t>
            </w:r>
          </w:p>
        </w:tc>
        <w:tc>
          <w:tcPr>
            <w:tcW w:w="2337" w:type="dxa"/>
            <w:vAlign w:val="center"/>
          </w:tcPr>
          <w:p w14:paraId="611C648E" w14:textId="6C55AE88" w:rsidR="00752A74" w:rsidRDefault="00752A74" w:rsidP="00AD67B9">
            <w:pPr>
              <w:pStyle w:val="BodyTextafterheading"/>
              <w:cnfStyle w:val="100000000000" w:firstRow="1" w:lastRow="0" w:firstColumn="0" w:lastColumn="0" w:oddVBand="0" w:evenVBand="0" w:oddHBand="0" w:evenHBand="0" w:firstRowFirstColumn="0" w:firstRowLastColumn="0" w:lastRowFirstColumn="0" w:lastRowLastColumn="0"/>
            </w:pPr>
            <w:r>
              <w:t>Source of Identification</w:t>
            </w:r>
          </w:p>
        </w:tc>
        <w:tc>
          <w:tcPr>
            <w:tcW w:w="2338" w:type="dxa"/>
            <w:vAlign w:val="center"/>
          </w:tcPr>
          <w:p w14:paraId="194A8E74" w14:textId="74533A62" w:rsidR="00752A74" w:rsidRDefault="00752A74" w:rsidP="00AD67B9">
            <w:pPr>
              <w:pStyle w:val="BodyTextafterheading"/>
              <w:cnfStyle w:val="100000000000" w:firstRow="1" w:lastRow="0" w:firstColumn="0" w:lastColumn="0" w:oddVBand="0" w:evenVBand="0" w:oddHBand="0" w:evenHBand="0" w:firstRowFirstColumn="0" w:firstRowLastColumn="0" w:lastRowFirstColumn="0" w:lastRowLastColumn="0"/>
            </w:pPr>
            <w:r>
              <w:t>Summary of Follow-up Meeting or Teleconference</w:t>
            </w:r>
          </w:p>
        </w:tc>
        <w:tc>
          <w:tcPr>
            <w:tcW w:w="2338" w:type="dxa"/>
            <w:vAlign w:val="center"/>
          </w:tcPr>
          <w:p w14:paraId="5C47BD13" w14:textId="6529F709" w:rsidR="00752A74" w:rsidRDefault="00752A74" w:rsidP="00AD67B9">
            <w:pPr>
              <w:pStyle w:val="BodyTextafterheading"/>
              <w:cnfStyle w:val="100000000000" w:firstRow="1" w:lastRow="0" w:firstColumn="0" w:lastColumn="0" w:oddVBand="0" w:evenVBand="0" w:oddHBand="0" w:evenHBand="0" w:firstRowFirstColumn="0" w:firstRowLastColumn="0" w:lastRowFirstColumn="0" w:lastRowLastColumn="0"/>
            </w:pPr>
            <w:r>
              <w:t>Assessment of Provider Availability, Services, and Capacity</w:t>
            </w:r>
          </w:p>
        </w:tc>
      </w:tr>
      <w:tr w:rsidR="00752A74" w14:paraId="013C0EAB" w14:textId="77777777" w:rsidTr="00752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2C65274" w14:textId="68B2B028" w:rsidR="00752A74" w:rsidRDefault="00EA545E" w:rsidP="002E77BD">
            <w:pPr>
              <w:pStyle w:val="BodyTextafterheading"/>
            </w:pPr>
            <w:r>
              <w:t>N/A</w:t>
            </w:r>
          </w:p>
        </w:tc>
        <w:tc>
          <w:tcPr>
            <w:tcW w:w="2337" w:type="dxa"/>
          </w:tcPr>
          <w:p w14:paraId="7D5604ED" w14:textId="4462AB17" w:rsidR="00752A74" w:rsidRDefault="00EA545E" w:rsidP="002E77BD">
            <w:pPr>
              <w:pStyle w:val="BodyTextafterheading"/>
              <w:cnfStyle w:val="000000100000" w:firstRow="0" w:lastRow="0" w:firstColumn="0" w:lastColumn="0" w:oddVBand="0" w:evenVBand="0" w:oddHBand="1" w:evenHBand="0" w:firstRowFirstColumn="0" w:firstRowLastColumn="0" w:lastRowFirstColumn="0" w:lastRowLastColumn="0"/>
            </w:pPr>
            <w:r>
              <w:t>N/A</w:t>
            </w:r>
          </w:p>
        </w:tc>
        <w:tc>
          <w:tcPr>
            <w:tcW w:w="2338" w:type="dxa"/>
          </w:tcPr>
          <w:p w14:paraId="680801AA" w14:textId="2A7FAF21" w:rsidR="00752A74" w:rsidRDefault="00EA545E" w:rsidP="002E77BD">
            <w:pPr>
              <w:pStyle w:val="BodyTextafterheading"/>
              <w:cnfStyle w:val="000000100000" w:firstRow="0" w:lastRow="0" w:firstColumn="0" w:lastColumn="0" w:oddVBand="0" w:evenVBand="0" w:oddHBand="1" w:evenHBand="0" w:firstRowFirstColumn="0" w:firstRowLastColumn="0" w:lastRowFirstColumn="0" w:lastRowLastColumn="0"/>
            </w:pPr>
            <w:r>
              <w:t>N/A</w:t>
            </w:r>
          </w:p>
        </w:tc>
        <w:tc>
          <w:tcPr>
            <w:tcW w:w="2338" w:type="dxa"/>
          </w:tcPr>
          <w:p w14:paraId="1634C37B" w14:textId="48B583C3" w:rsidR="00752A74" w:rsidRDefault="00EA545E" w:rsidP="002E77BD">
            <w:pPr>
              <w:pStyle w:val="BodyTextafterheading"/>
              <w:cnfStyle w:val="000000100000" w:firstRow="0" w:lastRow="0" w:firstColumn="0" w:lastColumn="0" w:oddVBand="0" w:evenVBand="0" w:oddHBand="1" w:evenHBand="0" w:firstRowFirstColumn="0" w:firstRowLastColumn="0" w:lastRowFirstColumn="0" w:lastRowLastColumn="0"/>
            </w:pPr>
            <w:r>
              <w:t xml:space="preserve">We have not received any Provider Inquiries. </w:t>
            </w:r>
          </w:p>
        </w:tc>
      </w:tr>
    </w:tbl>
    <w:p w14:paraId="03D4F6AC" w14:textId="77777777" w:rsidR="002E77BD" w:rsidRDefault="002E77BD" w:rsidP="002E77BD">
      <w:pPr>
        <w:pStyle w:val="BodyTextafterheading"/>
      </w:pPr>
    </w:p>
    <w:p w14:paraId="3118A6CE" w14:textId="46059448" w:rsidR="00F22827" w:rsidRDefault="00F22827">
      <w:r>
        <w:br w:type="page"/>
      </w:r>
    </w:p>
    <w:p w14:paraId="1143A0E2" w14:textId="35F58287" w:rsidR="002E77BD" w:rsidRPr="0024184C" w:rsidRDefault="002E77BD" w:rsidP="00E215B3">
      <w:pPr>
        <w:pStyle w:val="Heading2"/>
      </w:pPr>
      <w:r w:rsidRPr="0024184C">
        <w:rPr>
          <w:rStyle w:val="Strong"/>
          <w:b/>
          <w:bCs w:val="0"/>
        </w:rPr>
        <w:t xml:space="preserve">Part II: Required </w:t>
      </w:r>
      <w:r w:rsidR="00B16DD2" w:rsidRPr="0024184C">
        <w:rPr>
          <w:rStyle w:val="Strong"/>
          <w:b/>
          <w:bCs w:val="0"/>
        </w:rPr>
        <w:t xml:space="preserve">only </w:t>
      </w:r>
      <w:r w:rsidRPr="0024184C">
        <w:rPr>
          <w:rStyle w:val="Strong"/>
          <w:b/>
          <w:bCs w:val="0"/>
        </w:rPr>
        <w:t xml:space="preserve">for LMHAs and LBHAs with potential for network </w:t>
      </w:r>
      <w:proofErr w:type="gramStart"/>
      <w:r w:rsidRPr="0024184C">
        <w:rPr>
          <w:rStyle w:val="Strong"/>
          <w:b/>
          <w:bCs w:val="0"/>
        </w:rPr>
        <w:t>development</w:t>
      </w:r>
      <w:proofErr w:type="gramEnd"/>
    </w:p>
    <w:p w14:paraId="41A3B73A" w14:textId="5E7A303A" w:rsidR="002E77BD" w:rsidRPr="0024184C" w:rsidRDefault="002E77BD" w:rsidP="00E215B3">
      <w:pPr>
        <w:pStyle w:val="Heading3"/>
        <w:rPr>
          <w:rStyle w:val="Strong"/>
          <w:bCs w:val="0"/>
        </w:rPr>
      </w:pPr>
      <w:r w:rsidRPr="0024184C">
        <w:rPr>
          <w:rStyle w:val="Strong"/>
          <w:b/>
          <w:bCs w:val="0"/>
        </w:rPr>
        <w:t>Procurement Plans</w:t>
      </w:r>
    </w:p>
    <w:p w14:paraId="40B91425" w14:textId="5E9E357E" w:rsidR="002E77BD" w:rsidRPr="00EA545E" w:rsidRDefault="00A820FA" w:rsidP="002E77BD">
      <w:pPr>
        <w:pStyle w:val="BodyTextafterheading"/>
      </w:pPr>
      <w:r w:rsidRPr="00EA545E">
        <w:t>If the assessment of provider availability indicates potential for network development, the LMHA or LBHA must initiate procurement</w:t>
      </w:r>
      <w:r w:rsidR="002E77BD" w:rsidRPr="00EA545E">
        <w:t xml:space="preserve">. </w:t>
      </w:r>
    </w:p>
    <w:p w14:paraId="1746B4BF" w14:textId="7830D444" w:rsidR="002E77BD" w:rsidRPr="00EA545E" w:rsidRDefault="00094714" w:rsidP="002E77BD">
      <w:pPr>
        <w:pStyle w:val="BodyTextafterheading"/>
      </w:pPr>
      <w:r w:rsidRPr="00EA545E">
        <w:t xml:space="preserve">26 </w:t>
      </w:r>
      <w:r w:rsidR="002E77BD" w:rsidRPr="00EA545E">
        <w:t xml:space="preserve">Texas Administrative Code (TAC) Chapter 301, </w:t>
      </w:r>
      <w:r w:rsidR="00E34C90" w:rsidRPr="00EA545E">
        <w:t xml:space="preserve">Local Authority Responsibilities, </w:t>
      </w:r>
      <w:r w:rsidR="002E77BD" w:rsidRPr="00EA545E">
        <w:t>Subchapter F</w:t>
      </w:r>
      <w:r w:rsidR="001D3E0C" w:rsidRPr="00EA545E">
        <w:t>, Provider Network Development</w:t>
      </w:r>
      <w:r w:rsidR="002E77BD" w:rsidRPr="00EA545E">
        <w:t xml:space="preserve"> describes the conditions under which an LMHA or LBHA may continue to provide services when there are available and appropriate external providers. Include plans to procure complete levels of care or specialty services from provider organizations. Do not include procurement for individual practitioners to provide discrete services. </w:t>
      </w:r>
    </w:p>
    <w:p w14:paraId="6416E7AD" w14:textId="165180B4" w:rsidR="002E77BD" w:rsidRPr="00EA545E" w:rsidRDefault="002E77BD" w:rsidP="00DB35DD">
      <w:pPr>
        <w:pStyle w:val="BodyTextafterheading"/>
        <w:numPr>
          <w:ilvl w:val="0"/>
          <w:numId w:val="16"/>
        </w:numPr>
      </w:pPr>
      <w:r w:rsidRPr="00EA545E">
        <w:t>Complete table</w:t>
      </w:r>
      <w:r w:rsidR="00A820FA" w:rsidRPr="00EA545E">
        <w:t xml:space="preserve"> </w:t>
      </w:r>
      <w:r w:rsidR="005715B3" w:rsidRPr="00EA545E">
        <w:t>9</w:t>
      </w:r>
      <w:r w:rsidRPr="00EA545E">
        <w:t>, inserting additional rows as need.</w:t>
      </w:r>
    </w:p>
    <w:p w14:paraId="5DC2B907" w14:textId="6F11C00A" w:rsidR="002E77BD" w:rsidRPr="00EA545E" w:rsidRDefault="002E77BD" w:rsidP="00DB35DD">
      <w:pPr>
        <w:pStyle w:val="BodyTextafterheading"/>
        <w:numPr>
          <w:ilvl w:val="1"/>
          <w:numId w:val="16"/>
        </w:numPr>
      </w:pPr>
      <w:r w:rsidRPr="00EA545E">
        <w:t>Identify the service(s) to be procured. Make a separate entry for each service or combination of services that will be procured as a separate contracting unit. Specify Adult or Child if applicable.</w:t>
      </w:r>
    </w:p>
    <w:p w14:paraId="124131F0" w14:textId="42EFB3E8" w:rsidR="002E77BD" w:rsidRPr="00EA545E" w:rsidRDefault="002E77BD" w:rsidP="00DB35DD">
      <w:pPr>
        <w:pStyle w:val="BodyTextafterheading"/>
        <w:numPr>
          <w:ilvl w:val="1"/>
          <w:numId w:val="16"/>
        </w:numPr>
      </w:pPr>
      <w:r w:rsidRPr="00EA545E">
        <w:t>State the capacity to be procured, and the percent of total capacity for that service.</w:t>
      </w:r>
    </w:p>
    <w:p w14:paraId="177420AB" w14:textId="77777777" w:rsidR="000967CA" w:rsidRPr="00EA545E" w:rsidRDefault="000967CA" w:rsidP="000967CA">
      <w:pPr>
        <w:pStyle w:val="BodyTextafterheading"/>
        <w:numPr>
          <w:ilvl w:val="1"/>
          <w:numId w:val="16"/>
        </w:numPr>
      </w:pPr>
      <w:r w:rsidRPr="00EA545E">
        <w:t>State the method of procurement—open enrollment Request for Application (RFA) or request for proposal (RFP).</w:t>
      </w:r>
    </w:p>
    <w:p w14:paraId="6A258958" w14:textId="1CFECC7D" w:rsidR="002E77BD" w:rsidRPr="00EA545E" w:rsidRDefault="002E77BD" w:rsidP="00DB35DD">
      <w:pPr>
        <w:pStyle w:val="BodyTextafterheading"/>
        <w:numPr>
          <w:ilvl w:val="1"/>
          <w:numId w:val="16"/>
        </w:numPr>
      </w:pPr>
      <w:r w:rsidRPr="00EA545E">
        <w:t>Identify the geographic area for which the service will be procured:  all counties or name selected counties.</w:t>
      </w:r>
    </w:p>
    <w:p w14:paraId="1957A18D" w14:textId="638E5BB8" w:rsidR="002E77BD" w:rsidRPr="00EA545E" w:rsidRDefault="002E77BD" w:rsidP="00DB35DD">
      <w:pPr>
        <w:pStyle w:val="BodyTextafterheading"/>
        <w:numPr>
          <w:ilvl w:val="1"/>
          <w:numId w:val="16"/>
        </w:numPr>
      </w:pPr>
      <w:r w:rsidRPr="00EA545E">
        <w:t>Document the planned begin and end dates for the procurement, and the planned contract start date.</w:t>
      </w:r>
    </w:p>
    <w:p w14:paraId="2D6BEC70" w14:textId="4FD70FDA" w:rsidR="00B72E2D" w:rsidRPr="00B72E2D" w:rsidRDefault="00B72E2D" w:rsidP="00B63753">
      <w:pPr>
        <w:pStyle w:val="BodyText"/>
        <w:spacing w:after="0"/>
        <w:rPr>
          <w:rStyle w:val="Strong"/>
        </w:rPr>
      </w:pPr>
      <w:r w:rsidRPr="00EA545E">
        <w:rPr>
          <w:rStyle w:val="Strong"/>
        </w:rPr>
        <w:t xml:space="preserve">Table </w:t>
      </w:r>
      <w:r w:rsidR="005715B3" w:rsidRPr="00EA545E">
        <w:rPr>
          <w:rStyle w:val="Strong"/>
        </w:rPr>
        <w:t>9</w:t>
      </w:r>
      <w:r w:rsidRPr="00EA545E">
        <w:rPr>
          <w:rStyle w:val="Strong"/>
        </w:rPr>
        <w:t>:</w:t>
      </w:r>
      <w:r w:rsidR="001D3E0C" w:rsidRPr="00EA545E">
        <w:rPr>
          <w:rStyle w:val="Strong"/>
        </w:rPr>
        <w:t xml:space="preserve"> </w:t>
      </w:r>
      <w:r w:rsidR="00620600" w:rsidRPr="00EA545E">
        <w:rPr>
          <w:rStyle w:val="Strong"/>
        </w:rPr>
        <w:t>Procurement Plans</w:t>
      </w:r>
    </w:p>
    <w:tbl>
      <w:tblPr>
        <w:tblStyle w:val="HHSTableforTextData"/>
        <w:tblW w:w="0" w:type="auto"/>
        <w:tblLook w:val="04A0" w:firstRow="1" w:lastRow="0" w:firstColumn="1" w:lastColumn="0" w:noHBand="0" w:noVBand="1"/>
      </w:tblPr>
      <w:tblGrid>
        <w:gridCol w:w="1428"/>
        <w:gridCol w:w="1321"/>
        <w:gridCol w:w="1315"/>
        <w:gridCol w:w="1334"/>
        <w:gridCol w:w="1316"/>
        <w:gridCol w:w="1316"/>
        <w:gridCol w:w="1320"/>
      </w:tblGrid>
      <w:tr w:rsidR="004379C5" w14:paraId="308DC6D1" w14:textId="77777777" w:rsidTr="00EA54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087AB2D8" w14:textId="49F2C3CB" w:rsidR="004379C5" w:rsidRDefault="004379C5" w:rsidP="002E77BD">
            <w:pPr>
              <w:pStyle w:val="BodyTextafterheading"/>
            </w:pPr>
            <w:r>
              <w:t>Service or Combination of Services to be Procured</w:t>
            </w:r>
          </w:p>
        </w:tc>
        <w:tc>
          <w:tcPr>
            <w:tcW w:w="1321" w:type="dxa"/>
          </w:tcPr>
          <w:p w14:paraId="662BBDD1" w14:textId="05302E8D" w:rsidR="004379C5" w:rsidRDefault="004379C5" w:rsidP="002E77BD">
            <w:pPr>
              <w:pStyle w:val="BodyTextafterheading"/>
              <w:cnfStyle w:val="100000000000" w:firstRow="1" w:lastRow="0" w:firstColumn="0" w:lastColumn="0" w:oddVBand="0" w:evenVBand="0" w:oddHBand="0" w:evenHBand="0" w:firstRowFirstColumn="0" w:firstRowLastColumn="0" w:lastRowFirstColumn="0" w:lastRowLastColumn="0"/>
            </w:pPr>
            <w:r>
              <w:t>Capacity to be Procured</w:t>
            </w:r>
          </w:p>
        </w:tc>
        <w:tc>
          <w:tcPr>
            <w:tcW w:w="1315" w:type="dxa"/>
          </w:tcPr>
          <w:p w14:paraId="371DE15B" w14:textId="698829AB" w:rsidR="004379C5" w:rsidRDefault="004379C5" w:rsidP="002E77BD">
            <w:pPr>
              <w:pStyle w:val="BodyTextafterheading"/>
              <w:cnfStyle w:val="100000000000" w:firstRow="1" w:lastRow="0" w:firstColumn="0" w:lastColumn="0" w:oddVBand="0" w:evenVBand="0" w:oddHBand="0" w:evenHBand="0" w:firstRowFirstColumn="0" w:firstRowLastColumn="0" w:lastRowFirstColumn="0" w:lastRowLastColumn="0"/>
            </w:pPr>
            <w:r>
              <w:t>Method (RFA or RFP)</w:t>
            </w:r>
          </w:p>
        </w:tc>
        <w:tc>
          <w:tcPr>
            <w:tcW w:w="1334" w:type="dxa"/>
          </w:tcPr>
          <w:p w14:paraId="105B1F27" w14:textId="3E2E3099" w:rsidR="004379C5" w:rsidRDefault="004379C5" w:rsidP="002E77BD">
            <w:pPr>
              <w:pStyle w:val="BodyTextafterheading"/>
              <w:cnfStyle w:val="100000000000" w:firstRow="1" w:lastRow="0" w:firstColumn="0" w:lastColumn="0" w:oddVBand="0" w:evenVBand="0" w:oddHBand="0" w:evenHBand="0" w:firstRowFirstColumn="0" w:firstRowLastColumn="0" w:lastRowFirstColumn="0" w:lastRowLastColumn="0"/>
            </w:pPr>
            <w:r>
              <w:t>Geographic Area(s) in Which Service(s) will be Procured</w:t>
            </w:r>
          </w:p>
        </w:tc>
        <w:tc>
          <w:tcPr>
            <w:tcW w:w="1316" w:type="dxa"/>
          </w:tcPr>
          <w:p w14:paraId="12C6CC66" w14:textId="7D87BE83" w:rsidR="004379C5" w:rsidRDefault="004379C5" w:rsidP="002E77BD">
            <w:pPr>
              <w:pStyle w:val="BodyTextafterheading"/>
              <w:cnfStyle w:val="100000000000" w:firstRow="1" w:lastRow="0" w:firstColumn="0" w:lastColumn="0" w:oddVBand="0" w:evenVBand="0" w:oddHBand="0" w:evenHBand="0" w:firstRowFirstColumn="0" w:firstRowLastColumn="0" w:lastRowFirstColumn="0" w:lastRowLastColumn="0"/>
            </w:pPr>
            <w:r>
              <w:t>Posting Start Date</w:t>
            </w:r>
          </w:p>
        </w:tc>
        <w:tc>
          <w:tcPr>
            <w:tcW w:w="1316" w:type="dxa"/>
          </w:tcPr>
          <w:p w14:paraId="6F9C257E" w14:textId="5A832CBE" w:rsidR="004379C5" w:rsidRDefault="004379C5" w:rsidP="002E77BD">
            <w:pPr>
              <w:pStyle w:val="BodyTextafterheading"/>
              <w:cnfStyle w:val="100000000000" w:firstRow="1" w:lastRow="0" w:firstColumn="0" w:lastColumn="0" w:oddVBand="0" w:evenVBand="0" w:oddHBand="0" w:evenHBand="0" w:firstRowFirstColumn="0" w:firstRowLastColumn="0" w:lastRowFirstColumn="0" w:lastRowLastColumn="0"/>
            </w:pPr>
            <w:r>
              <w:t>Posting End Date</w:t>
            </w:r>
          </w:p>
        </w:tc>
        <w:tc>
          <w:tcPr>
            <w:tcW w:w="1320" w:type="dxa"/>
          </w:tcPr>
          <w:p w14:paraId="545734B4" w14:textId="5E3EEBC7" w:rsidR="004379C5" w:rsidRDefault="004379C5" w:rsidP="002E77BD">
            <w:pPr>
              <w:pStyle w:val="BodyTextafterheading"/>
              <w:cnfStyle w:val="100000000000" w:firstRow="1" w:lastRow="0" w:firstColumn="0" w:lastColumn="0" w:oddVBand="0" w:evenVBand="0" w:oddHBand="0" w:evenHBand="0" w:firstRowFirstColumn="0" w:firstRowLastColumn="0" w:lastRowFirstColumn="0" w:lastRowLastColumn="0"/>
            </w:pPr>
            <w:r>
              <w:t>Contract Start Date</w:t>
            </w:r>
          </w:p>
        </w:tc>
      </w:tr>
      <w:tr w:rsidR="004379C5" w14:paraId="310ECEAF" w14:textId="77777777" w:rsidTr="00EA54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4A110935" w14:textId="3A4537F5" w:rsidR="004379C5" w:rsidRDefault="00EA545E" w:rsidP="002E77BD">
            <w:pPr>
              <w:pStyle w:val="BodyTextafterheading"/>
            </w:pPr>
            <w:r>
              <w:t>N/A</w:t>
            </w:r>
          </w:p>
        </w:tc>
        <w:tc>
          <w:tcPr>
            <w:tcW w:w="1321" w:type="dxa"/>
          </w:tcPr>
          <w:p w14:paraId="0A9B0276" w14:textId="77777777" w:rsidR="004379C5" w:rsidRDefault="004379C5"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15" w:type="dxa"/>
          </w:tcPr>
          <w:p w14:paraId="77BA11ED" w14:textId="77777777" w:rsidR="004379C5" w:rsidRDefault="004379C5"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34" w:type="dxa"/>
          </w:tcPr>
          <w:p w14:paraId="384E9F9E" w14:textId="77777777" w:rsidR="004379C5" w:rsidRDefault="004379C5"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16" w:type="dxa"/>
          </w:tcPr>
          <w:p w14:paraId="3B4E473E" w14:textId="77777777" w:rsidR="004379C5" w:rsidRDefault="004379C5"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16" w:type="dxa"/>
          </w:tcPr>
          <w:p w14:paraId="450FDD01" w14:textId="77777777" w:rsidR="004379C5" w:rsidRDefault="004379C5"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20" w:type="dxa"/>
          </w:tcPr>
          <w:p w14:paraId="0C9E5425" w14:textId="77777777" w:rsidR="004379C5" w:rsidRDefault="004379C5" w:rsidP="002E77BD">
            <w:pPr>
              <w:pStyle w:val="BodyTextafterheading"/>
              <w:cnfStyle w:val="000000100000" w:firstRow="0" w:lastRow="0" w:firstColumn="0" w:lastColumn="0" w:oddVBand="0" w:evenVBand="0" w:oddHBand="1" w:evenHBand="0" w:firstRowFirstColumn="0" w:firstRowLastColumn="0" w:lastRowFirstColumn="0" w:lastRowLastColumn="0"/>
            </w:pPr>
          </w:p>
        </w:tc>
      </w:tr>
    </w:tbl>
    <w:p w14:paraId="340B2156" w14:textId="6D715507" w:rsidR="002E77BD" w:rsidRPr="009B4A79" w:rsidRDefault="002E77BD" w:rsidP="000967CA">
      <w:pPr>
        <w:pStyle w:val="Heading3"/>
        <w:rPr>
          <w:rStyle w:val="Strong"/>
          <w:bCs w:val="0"/>
        </w:rPr>
      </w:pPr>
      <w:r w:rsidRPr="009B4A79">
        <w:rPr>
          <w:rStyle w:val="Strong"/>
          <w:b/>
          <w:bCs w:val="0"/>
        </w:rPr>
        <w:t>Rationale for Limitations</w:t>
      </w:r>
    </w:p>
    <w:p w14:paraId="2A0AAFAB" w14:textId="7495016C" w:rsidR="002E77BD" w:rsidRPr="00EA545E" w:rsidRDefault="002E77BD" w:rsidP="002E77BD">
      <w:pPr>
        <w:pStyle w:val="BodyTextafterheading"/>
      </w:pPr>
      <w:r w:rsidRPr="00EA545E">
        <w:t>Network development includes the addition of new provider organizations, services, or capacity to an LMHA’s or LBHA’s external provider network.</w:t>
      </w:r>
    </w:p>
    <w:p w14:paraId="2211A990" w14:textId="7176AA3A" w:rsidR="002E77BD" w:rsidRPr="00EA545E" w:rsidRDefault="002E77BD" w:rsidP="00DB35DD">
      <w:pPr>
        <w:pStyle w:val="BodyTextafterheading"/>
        <w:numPr>
          <w:ilvl w:val="0"/>
          <w:numId w:val="16"/>
        </w:numPr>
      </w:pPr>
      <w:r w:rsidRPr="00EA545E">
        <w:t>Complete table</w:t>
      </w:r>
      <w:r w:rsidR="002B3982" w:rsidRPr="00EA545E">
        <w:t xml:space="preserve"> 1</w:t>
      </w:r>
      <w:r w:rsidR="005715B3" w:rsidRPr="00EA545E">
        <w:t>0</w:t>
      </w:r>
      <w:r w:rsidR="002B3982" w:rsidRPr="00EA545E">
        <w:t xml:space="preserve"> based on the LMHA’s or LBHA’s assessment of provider availability</w:t>
      </w:r>
      <w:r w:rsidRPr="00EA545E">
        <w:t xml:space="preserve">. </w:t>
      </w:r>
      <w:r w:rsidR="00AD67B9" w:rsidRPr="00EA545E">
        <w:t>R</w:t>
      </w:r>
      <w:r w:rsidRPr="00EA545E">
        <w:t>eview</w:t>
      </w:r>
      <w:r w:rsidR="009B4A79" w:rsidRPr="00EA545E">
        <w:t xml:space="preserve"> </w:t>
      </w:r>
      <w:hyperlink r:id="rId13" w:history="1">
        <w:r w:rsidR="009B4A79" w:rsidRPr="00EA545E">
          <w:rPr>
            <w:rStyle w:val="Hyperlink"/>
            <w:rFonts w:cstheme="minorBidi"/>
          </w:rPr>
          <w:t>26</w:t>
        </w:r>
        <w:r w:rsidRPr="00EA545E">
          <w:rPr>
            <w:rStyle w:val="Hyperlink"/>
            <w:rFonts w:cstheme="minorBidi"/>
          </w:rPr>
          <w:t xml:space="preserve"> TAC </w:t>
        </w:r>
        <w:r w:rsidR="00AD67B9" w:rsidRPr="00EA545E">
          <w:rPr>
            <w:rStyle w:val="Hyperlink"/>
            <w:rFonts w:cstheme="minorBidi"/>
          </w:rPr>
          <w:t xml:space="preserve">Section </w:t>
        </w:r>
        <w:r w:rsidRPr="00EA545E">
          <w:rPr>
            <w:rStyle w:val="Hyperlink"/>
            <w:rFonts w:cstheme="minorBidi"/>
          </w:rPr>
          <w:t>301</w:t>
        </w:r>
        <w:r w:rsidR="003D19E6" w:rsidRPr="00EA545E">
          <w:rPr>
            <w:rStyle w:val="Hyperlink"/>
            <w:rFonts w:cstheme="minorBidi"/>
          </w:rPr>
          <w:t>.</w:t>
        </w:r>
        <w:r w:rsidR="00496A72" w:rsidRPr="00EA545E">
          <w:rPr>
            <w:rStyle w:val="Hyperlink"/>
            <w:rFonts w:cstheme="minorBidi"/>
          </w:rPr>
          <w:t>259</w:t>
        </w:r>
      </w:hyperlink>
      <w:r w:rsidR="00496A72" w:rsidRPr="00EA545E">
        <w:t xml:space="preserve"> </w:t>
      </w:r>
      <w:r w:rsidRPr="00EA545E">
        <w:t>carefully to be sure the rationale addresses the requirements specified in the rule (See Appendix B).</w:t>
      </w:r>
    </w:p>
    <w:p w14:paraId="1AA2B9FA" w14:textId="26AB6DC0" w:rsidR="002E77BD" w:rsidRPr="00EA545E" w:rsidRDefault="002E77BD" w:rsidP="00DB35DD">
      <w:pPr>
        <w:pStyle w:val="BodyTextafterheading"/>
        <w:numPr>
          <w:ilvl w:val="1"/>
          <w:numId w:val="16"/>
        </w:numPr>
      </w:pPr>
      <w:r w:rsidRPr="00EA545E">
        <w:t xml:space="preserve">Based on the LMHA’s or LBHA’s assessment of provider availability, respond to each of the following questions. </w:t>
      </w:r>
    </w:p>
    <w:p w14:paraId="6FC57C4A" w14:textId="3D6508DF" w:rsidR="002E77BD" w:rsidRPr="00EA545E" w:rsidRDefault="00AD67B9" w:rsidP="00446B09">
      <w:pPr>
        <w:pStyle w:val="BodyTextafterheading"/>
        <w:numPr>
          <w:ilvl w:val="1"/>
          <w:numId w:val="16"/>
        </w:numPr>
      </w:pPr>
      <w:r w:rsidRPr="00EA545E">
        <w:t>If “yes” is answered for any restriction identified in table 1</w:t>
      </w:r>
      <w:r w:rsidR="005715B3" w:rsidRPr="00EA545E">
        <w:t>0</w:t>
      </w:r>
      <w:r w:rsidRPr="00EA545E">
        <w:t>, p</w:t>
      </w:r>
      <w:r w:rsidR="00446B09" w:rsidRPr="00EA545E">
        <w:t>rovide a clear rationale</w:t>
      </w:r>
      <w:r w:rsidR="0069232E" w:rsidRPr="00EA545E">
        <w:t xml:space="preserve">. </w:t>
      </w:r>
    </w:p>
    <w:p w14:paraId="063E263C" w14:textId="0C730B73" w:rsidR="002E77BD" w:rsidRPr="00EA545E" w:rsidRDefault="002E77BD" w:rsidP="00DB35DD">
      <w:pPr>
        <w:pStyle w:val="BodyTextafterheading"/>
        <w:numPr>
          <w:ilvl w:val="1"/>
          <w:numId w:val="16"/>
        </w:numPr>
      </w:pPr>
      <w:r w:rsidRPr="00EA545E">
        <w:t xml:space="preserve">If the restriction applies to multiple procurements, the rationale must address each of the restricted procurements or state that it is applicable to </w:t>
      </w:r>
      <w:r w:rsidR="00016FC6" w:rsidRPr="00EA545E">
        <w:t>all</w:t>
      </w:r>
      <w:r w:rsidRPr="00EA545E">
        <w:t xml:space="preserve"> the restricted procurements.</w:t>
      </w:r>
    </w:p>
    <w:p w14:paraId="194D8F4F" w14:textId="2A4F16A5" w:rsidR="002E77BD" w:rsidRPr="00EA545E" w:rsidRDefault="002E77BD" w:rsidP="00DB35DD">
      <w:pPr>
        <w:pStyle w:val="BodyTextafterheading"/>
        <w:numPr>
          <w:ilvl w:val="1"/>
          <w:numId w:val="16"/>
        </w:numPr>
      </w:pPr>
      <w:r w:rsidRPr="00EA545E">
        <w:t>The rationale must provide a basis for the proposed level of restriction, including the volume of services to be provided by the LMHA or LBHA.</w:t>
      </w:r>
    </w:p>
    <w:p w14:paraId="231C13AD" w14:textId="60D14665" w:rsidR="00B72E2D" w:rsidRPr="00B72E2D" w:rsidRDefault="00B72E2D" w:rsidP="00B63753">
      <w:pPr>
        <w:pStyle w:val="BodyText"/>
        <w:spacing w:after="0"/>
        <w:rPr>
          <w:b/>
          <w:bCs/>
        </w:rPr>
      </w:pPr>
      <w:r w:rsidRPr="00B72E2D">
        <w:rPr>
          <w:rStyle w:val="Strong"/>
        </w:rPr>
        <w:t>Table 1</w:t>
      </w:r>
      <w:r w:rsidR="005715B3">
        <w:rPr>
          <w:rStyle w:val="Strong"/>
        </w:rPr>
        <w:t>0</w:t>
      </w:r>
      <w:r w:rsidRPr="00B72E2D">
        <w:rPr>
          <w:rStyle w:val="Strong"/>
        </w:rPr>
        <w:t>:</w:t>
      </w:r>
      <w:r w:rsidR="00E03808">
        <w:rPr>
          <w:rStyle w:val="Strong"/>
        </w:rPr>
        <w:t xml:space="preserve"> </w:t>
      </w:r>
      <w:r w:rsidR="00EA240A">
        <w:rPr>
          <w:rStyle w:val="Strong"/>
        </w:rPr>
        <w:t>Procurement Limitations</w:t>
      </w:r>
    </w:p>
    <w:tbl>
      <w:tblPr>
        <w:tblStyle w:val="HHSTableforTextData"/>
        <w:tblW w:w="0" w:type="auto"/>
        <w:tblLook w:val="04A0" w:firstRow="1" w:lastRow="0" w:firstColumn="1" w:lastColumn="0" w:noHBand="0" w:noVBand="1"/>
      </w:tblPr>
      <w:tblGrid>
        <w:gridCol w:w="2337"/>
        <w:gridCol w:w="2337"/>
        <w:gridCol w:w="2338"/>
        <w:gridCol w:w="2338"/>
      </w:tblGrid>
      <w:tr w:rsidR="00B72E2D" w14:paraId="6271EE91" w14:textId="77777777" w:rsidTr="00B72E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E6AD225" w14:textId="77777777" w:rsidR="00B72E2D" w:rsidRDefault="00B72E2D" w:rsidP="002E77BD">
            <w:pPr>
              <w:pStyle w:val="BodyTextafterheading"/>
            </w:pPr>
          </w:p>
        </w:tc>
        <w:tc>
          <w:tcPr>
            <w:tcW w:w="2337" w:type="dxa"/>
          </w:tcPr>
          <w:p w14:paraId="430CC95B" w14:textId="5FD29B38" w:rsidR="00B72E2D" w:rsidRDefault="00B72E2D" w:rsidP="002E77BD">
            <w:pPr>
              <w:pStyle w:val="BodyTextafterheading"/>
              <w:cnfStyle w:val="100000000000" w:firstRow="1" w:lastRow="0" w:firstColumn="0" w:lastColumn="0" w:oddVBand="0" w:evenVBand="0" w:oddHBand="0" w:evenHBand="0" w:firstRowFirstColumn="0" w:firstRowLastColumn="0" w:lastRowFirstColumn="0" w:lastRowLastColumn="0"/>
            </w:pPr>
            <w:r>
              <w:t>Yes</w:t>
            </w:r>
          </w:p>
        </w:tc>
        <w:tc>
          <w:tcPr>
            <w:tcW w:w="2338" w:type="dxa"/>
          </w:tcPr>
          <w:p w14:paraId="5C9581D2" w14:textId="79F197C9" w:rsidR="00B72E2D" w:rsidRDefault="00B72E2D" w:rsidP="002E77BD">
            <w:pPr>
              <w:pStyle w:val="BodyTextafterheading"/>
              <w:cnfStyle w:val="100000000000" w:firstRow="1" w:lastRow="0" w:firstColumn="0" w:lastColumn="0" w:oddVBand="0" w:evenVBand="0" w:oddHBand="0" w:evenHBand="0" w:firstRowFirstColumn="0" w:firstRowLastColumn="0" w:lastRowFirstColumn="0" w:lastRowLastColumn="0"/>
            </w:pPr>
            <w:r>
              <w:t>No</w:t>
            </w:r>
          </w:p>
        </w:tc>
        <w:tc>
          <w:tcPr>
            <w:tcW w:w="2338" w:type="dxa"/>
          </w:tcPr>
          <w:p w14:paraId="6EA2465A" w14:textId="423557A3" w:rsidR="00B72E2D" w:rsidRDefault="00B72E2D" w:rsidP="002E77BD">
            <w:pPr>
              <w:pStyle w:val="BodyTextafterheading"/>
              <w:cnfStyle w:val="100000000000" w:firstRow="1" w:lastRow="0" w:firstColumn="0" w:lastColumn="0" w:oddVBand="0" w:evenVBand="0" w:oddHBand="0" w:evenHBand="0" w:firstRowFirstColumn="0" w:firstRowLastColumn="0" w:lastRowFirstColumn="0" w:lastRowLastColumn="0"/>
            </w:pPr>
            <w:r>
              <w:t>Rationale</w:t>
            </w:r>
          </w:p>
        </w:tc>
      </w:tr>
      <w:tr w:rsidR="00B72E2D" w14:paraId="133A225A" w14:textId="77777777" w:rsidTr="00B72E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7DA24E4" w14:textId="3EF0D139" w:rsidR="00B72E2D" w:rsidRDefault="00B72E2D" w:rsidP="001B6264">
            <w:pPr>
              <w:pStyle w:val="BodyTextafterheading"/>
              <w:numPr>
                <w:ilvl w:val="0"/>
                <w:numId w:val="26"/>
              </w:numPr>
            </w:pPr>
            <w:r>
              <w:t>Are there any services with potential for network development that are not scheduled for procurement?</w:t>
            </w:r>
          </w:p>
        </w:tc>
        <w:tc>
          <w:tcPr>
            <w:tcW w:w="2337" w:type="dxa"/>
          </w:tcPr>
          <w:p w14:paraId="16C60E1B" w14:textId="77777777" w:rsidR="00B72E2D" w:rsidRDefault="00B72E2D"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2338" w:type="dxa"/>
          </w:tcPr>
          <w:p w14:paraId="4717DC07" w14:textId="67A69336" w:rsidR="00B72E2D" w:rsidRDefault="0055550C" w:rsidP="002E77BD">
            <w:pPr>
              <w:pStyle w:val="BodyTextafterheading"/>
              <w:cnfStyle w:val="000000100000" w:firstRow="0" w:lastRow="0" w:firstColumn="0" w:lastColumn="0" w:oddVBand="0" w:evenVBand="0" w:oddHBand="1" w:evenHBand="0" w:firstRowFirstColumn="0" w:firstRowLastColumn="0" w:lastRowFirstColumn="0" w:lastRowLastColumn="0"/>
            </w:pPr>
            <w:r>
              <w:t>x</w:t>
            </w:r>
          </w:p>
        </w:tc>
        <w:tc>
          <w:tcPr>
            <w:tcW w:w="2338" w:type="dxa"/>
          </w:tcPr>
          <w:p w14:paraId="7960D78D" w14:textId="77777777" w:rsidR="00B72E2D" w:rsidRDefault="00B72E2D"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B72E2D" w14:paraId="4959D5D8" w14:textId="77777777" w:rsidTr="00B72E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844A05A" w14:textId="4E18E6BC" w:rsidR="00B72E2D" w:rsidRDefault="00B72E2D" w:rsidP="001B6264">
            <w:pPr>
              <w:pStyle w:val="BodyTextafterheading"/>
              <w:numPr>
                <w:ilvl w:val="0"/>
                <w:numId w:val="26"/>
              </w:numPr>
            </w:pPr>
            <w:r>
              <w:t>Are any limitations being placed on percentage of total capacity or volume of services external providers will be able to provide for any service?</w:t>
            </w:r>
          </w:p>
        </w:tc>
        <w:tc>
          <w:tcPr>
            <w:tcW w:w="2337" w:type="dxa"/>
          </w:tcPr>
          <w:p w14:paraId="3BC86560" w14:textId="77777777" w:rsidR="00B72E2D" w:rsidRDefault="00B72E2D"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2338" w:type="dxa"/>
          </w:tcPr>
          <w:p w14:paraId="11E5F50F" w14:textId="7C6A75F9" w:rsidR="00B72E2D" w:rsidRDefault="0055550C" w:rsidP="002E77BD">
            <w:pPr>
              <w:pStyle w:val="BodyTextafterheading"/>
              <w:cnfStyle w:val="000000010000" w:firstRow="0" w:lastRow="0" w:firstColumn="0" w:lastColumn="0" w:oddVBand="0" w:evenVBand="0" w:oddHBand="0" w:evenHBand="1" w:firstRowFirstColumn="0" w:firstRowLastColumn="0" w:lastRowFirstColumn="0" w:lastRowLastColumn="0"/>
            </w:pPr>
            <w:r>
              <w:t>x</w:t>
            </w:r>
          </w:p>
        </w:tc>
        <w:tc>
          <w:tcPr>
            <w:tcW w:w="2338" w:type="dxa"/>
          </w:tcPr>
          <w:p w14:paraId="3DF70A7B" w14:textId="77777777" w:rsidR="00B72E2D" w:rsidRDefault="00B72E2D" w:rsidP="002E77BD">
            <w:pPr>
              <w:pStyle w:val="BodyTextafterheading"/>
              <w:cnfStyle w:val="000000010000" w:firstRow="0" w:lastRow="0" w:firstColumn="0" w:lastColumn="0" w:oddVBand="0" w:evenVBand="0" w:oddHBand="0" w:evenHBand="1" w:firstRowFirstColumn="0" w:firstRowLastColumn="0" w:lastRowFirstColumn="0" w:lastRowLastColumn="0"/>
            </w:pPr>
          </w:p>
        </w:tc>
      </w:tr>
      <w:tr w:rsidR="00B72E2D" w14:paraId="2CA858E2" w14:textId="77777777" w:rsidTr="00B72E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66D8C0C" w14:textId="2244F821" w:rsidR="00B72E2D" w:rsidRDefault="00B72E2D" w:rsidP="001B6264">
            <w:pPr>
              <w:pStyle w:val="BodyTextafterheading"/>
              <w:numPr>
                <w:ilvl w:val="0"/>
                <w:numId w:val="26"/>
              </w:numPr>
            </w:pPr>
            <w:r>
              <w:t>Are any of the procurements limited to certain counties within the local service area?</w:t>
            </w:r>
          </w:p>
        </w:tc>
        <w:tc>
          <w:tcPr>
            <w:tcW w:w="2337" w:type="dxa"/>
          </w:tcPr>
          <w:p w14:paraId="03A27444" w14:textId="77777777" w:rsidR="00B72E2D" w:rsidRDefault="00B72E2D"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2338" w:type="dxa"/>
          </w:tcPr>
          <w:p w14:paraId="0A530842" w14:textId="1B3CDF39" w:rsidR="00B72E2D" w:rsidRDefault="0055550C" w:rsidP="002E77BD">
            <w:pPr>
              <w:pStyle w:val="BodyTextafterheading"/>
              <w:cnfStyle w:val="000000100000" w:firstRow="0" w:lastRow="0" w:firstColumn="0" w:lastColumn="0" w:oddVBand="0" w:evenVBand="0" w:oddHBand="1" w:evenHBand="0" w:firstRowFirstColumn="0" w:firstRowLastColumn="0" w:lastRowFirstColumn="0" w:lastRowLastColumn="0"/>
            </w:pPr>
            <w:r>
              <w:t>x</w:t>
            </w:r>
          </w:p>
        </w:tc>
        <w:tc>
          <w:tcPr>
            <w:tcW w:w="2338" w:type="dxa"/>
          </w:tcPr>
          <w:p w14:paraId="2E707E41" w14:textId="77777777" w:rsidR="00B72E2D" w:rsidRDefault="00B72E2D"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B72E2D" w14:paraId="1255B841" w14:textId="77777777" w:rsidTr="00B72E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166A4B3" w14:textId="695EDD4B" w:rsidR="00B72E2D" w:rsidRDefault="00B72E2D" w:rsidP="001B6264">
            <w:pPr>
              <w:pStyle w:val="BodyTextafterheading"/>
              <w:numPr>
                <w:ilvl w:val="0"/>
                <w:numId w:val="26"/>
              </w:numPr>
            </w:pPr>
            <w:r>
              <w:t>Is there a limitation on the number of providers that will be accepted for any of the procurements?</w:t>
            </w:r>
          </w:p>
        </w:tc>
        <w:tc>
          <w:tcPr>
            <w:tcW w:w="2337" w:type="dxa"/>
          </w:tcPr>
          <w:p w14:paraId="69C9559F" w14:textId="77777777" w:rsidR="00B72E2D" w:rsidRDefault="00B72E2D"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2338" w:type="dxa"/>
          </w:tcPr>
          <w:p w14:paraId="6BE6927F" w14:textId="094C5AA9" w:rsidR="00B72E2D" w:rsidRDefault="0055550C" w:rsidP="002E77BD">
            <w:pPr>
              <w:pStyle w:val="BodyTextafterheading"/>
              <w:cnfStyle w:val="000000010000" w:firstRow="0" w:lastRow="0" w:firstColumn="0" w:lastColumn="0" w:oddVBand="0" w:evenVBand="0" w:oddHBand="0" w:evenHBand="1" w:firstRowFirstColumn="0" w:firstRowLastColumn="0" w:lastRowFirstColumn="0" w:lastRowLastColumn="0"/>
            </w:pPr>
            <w:r>
              <w:t>x</w:t>
            </w:r>
          </w:p>
        </w:tc>
        <w:tc>
          <w:tcPr>
            <w:tcW w:w="2338" w:type="dxa"/>
          </w:tcPr>
          <w:p w14:paraId="078EF4E5" w14:textId="77777777" w:rsidR="00B72E2D" w:rsidRDefault="00B72E2D" w:rsidP="002E77BD">
            <w:pPr>
              <w:pStyle w:val="BodyTextafterheading"/>
              <w:cnfStyle w:val="000000010000" w:firstRow="0" w:lastRow="0" w:firstColumn="0" w:lastColumn="0" w:oddVBand="0" w:evenVBand="0" w:oddHBand="0" w:evenHBand="1" w:firstRowFirstColumn="0" w:firstRowLastColumn="0" w:lastRowFirstColumn="0" w:lastRowLastColumn="0"/>
            </w:pPr>
          </w:p>
        </w:tc>
      </w:tr>
    </w:tbl>
    <w:p w14:paraId="5F6AB262" w14:textId="6C11184B" w:rsidR="002E77BD" w:rsidRDefault="00A10C89" w:rsidP="00DB35DD">
      <w:pPr>
        <w:pStyle w:val="BodyTextafterheading"/>
        <w:numPr>
          <w:ilvl w:val="0"/>
          <w:numId w:val="16"/>
        </w:numPr>
      </w:pPr>
      <w:r>
        <w:t>Complete table 1</w:t>
      </w:r>
      <w:r w:rsidR="005715B3">
        <w:t>1</w:t>
      </w:r>
      <w:r>
        <w:t xml:space="preserve"> i</w:t>
      </w:r>
      <w:r w:rsidR="002E77BD">
        <w:t>f the LMHA or LBHA will not be procuring all available capacity offered by external contractors for one or more services</w:t>
      </w:r>
      <w:r>
        <w:t xml:space="preserve"> and </w:t>
      </w:r>
      <w:r w:rsidR="002E77BD">
        <w:t>identify the planned transition period and the year in which the LMHA or LBHA anticipates procuring the full external provider capacity currently available (not to exceed the LMHA’s or LBHA’s capacity).</w:t>
      </w:r>
    </w:p>
    <w:p w14:paraId="31DD6B81" w14:textId="5FD70CCB" w:rsidR="000E2404" w:rsidRPr="000E2404" w:rsidRDefault="000E2404" w:rsidP="00B63753">
      <w:pPr>
        <w:pStyle w:val="BodyText"/>
        <w:spacing w:after="0"/>
        <w:rPr>
          <w:b/>
          <w:bCs/>
        </w:rPr>
      </w:pPr>
      <w:r w:rsidRPr="00B72E2D">
        <w:rPr>
          <w:rStyle w:val="Strong"/>
        </w:rPr>
        <w:t>Table 1</w:t>
      </w:r>
      <w:r w:rsidR="005715B3">
        <w:rPr>
          <w:rStyle w:val="Strong"/>
        </w:rPr>
        <w:t>1</w:t>
      </w:r>
      <w:r w:rsidRPr="00B72E2D">
        <w:rPr>
          <w:rStyle w:val="Strong"/>
        </w:rPr>
        <w:t>:</w:t>
      </w:r>
      <w:r w:rsidR="008E5F06">
        <w:rPr>
          <w:rStyle w:val="Strong"/>
        </w:rPr>
        <w:t xml:space="preserve"> </w:t>
      </w:r>
      <w:r w:rsidR="007419EF">
        <w:rPr>
          <w:rStyle w:val="Strong"/>
        </w:rPr>
        <w:t xml:space="preserve">Procurement Transitions </w:t>
      </w:r>
    </w:p>
    <w:tbl>
      <w:tblPr>
        <w:tblStyle w:val="HHSTableforTextData"/>
        <w:tblW w:w="0" w:type="auto"/>
        <w:tblLook w:val="04A0" w:firstRow="1" w:lastRow="0" w:firstColumn="1" w:lastColumn="0" w:noHBand="0" w:noVBand="1"/>
      </w:tblPr>
      <w:tblGrid>
        <w:gridCol w:w="3116"/>
        <w:gridCol w:w="3117"/>
        <w:gridCol w:w="3117"/>
      </w:tblGrid>
      <w:tr w:rsidR="000E2404" w14:paraId="6FC2F60F" w14:textId="77777777" w:rsidTr="000E24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2A474DF" w14:textId="7778170F" w:rsidR="000E2404" w:rsidRDefault="000E2404" w:rsidP="002E77BD">
            <w:pPr>
              <w:pStyle w:val="BodyTextafterheading"/>
            </w:pPr>
            <w:r>
              <w:t>Service</w:t>
            </w:r>
          </w:p>
        </w:tc>
        <w:tc>
          <w:tcPr>
            <w:tcW w:w="3117" w:type="dxa"/>
          </w:tcPr>
          <w:p w14:paraId="3A2477E9" w14:textId="6E1AEED8" w:rsidR="000E2404" w:rsidRDefault="000E2404" w:rsidP="002E77BD">
            <w:pPr>
              <w:pStyle w:val="BodyTextafterheading"/>
              <w:cnfStyle w:val="100000000000" w:firstRow="1" w:lastRow="0" w:firstColumn="0" w:lastColumn="0" w:oddVBand="0" w:evenVBand="0" w:oddHBand="0" w:evenHBand="0" w:firstRowFirstColumn="0" w:firstRowLastColumn="0" w:lastRowFirstColumn="0" w:lastRowLastColumn="0"/>
            </w:pPr>
            <w:r>
              <w:t>Transition Period</w:t>
            </w:r>
          </w:p>
        </w:tc>
        <w:tc>
          <w:tcPr>
            <w:tcW w:w="3117" w:type="dxa"/>
          </w:tcPr>
          <w:p w14:paraId="24190AE0" w14:textId="2B3DF40A" w:rsidR="000E2404" w:rsidRDefault="000E2404" w:rsidP="002E77BD">
            <w:pPr>
              <w:pStyle w:val="BodyTextafterheading"/>
              <w:cnfStyle w:val="100000000000" w:firstRow="1" w:lastRow="0" w:firstColumn="0" w:lastColumn="0" w:oddVBand="0" w:evenVBand="0" w:oddHBand="0" w:evenHBand="0" w:firstRowFirstColumn="0" w:firstRowLastColumn="0" w:lastRowFirstColumn="0" w:lastRowLastColumn="0"/>
            </w:pPr>
            <w:r>
              <w:t>Year of Full Procurement</w:t>
            </w:r>
          </w:p>
        </w:tc>
      </w:tr>
      <w:tr w:rsidR="000E2404" w14:paraId="3165AE79" w14:textId="77777777" w:rsidTr="000E2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566909E" w14:textId="77777777" w:rsidR="000E2404" w:rsidRDefault="000E2404" w:rsidP="002E77BD">
            <w:pPr>
              <w:pStyle w:val="BodyTextafterheading"/>
            </w:pPr>
          </w:p>
        </w:tc>
        <w:tc>
          <w:tcPr>
            <w:tcW w:w="3117" w:type="dxa"/>
          </w:tcPr>
          <w:p w14:paraId="6AC6B7EA" w14:textId="77777777" w:rsidR="000E2404" w:rsidRDefault="000E2404"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3117" w:type="dxa"/>
          </w:tcPr>
          <w:p w14:paraId="648A86E3" w14:textId="77777777" w:rsidR="000E2404" w:rsidRDefault="000E2404"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0E2404" w14:paraId="1EEEDCA4" w14:textId="77777777" w:rsidTr="000E24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4E3230A" w14:textId="77777777" w:rsidR="000E2404" w:rsidRDefault="000E2404" w:rsidP="002E77BD">
            <w:pPr>
              <w:pStyle w:val="BodyTextafterheading"/>
            </w:pPr>
          </w:p>
        </w:tc>
        <w:tc>
          <w:tcPr>
            <w:tcW w:w="3117" w:type="dxa"/>
          </w:tcPr>
          <w:p w14:paraId="38C3EA42" w14:textId="77777777" w:rsidR="000E2404" w:rsidRDefault="000E2404"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3117" w:type="dxa"/>
          </w:tcPr>
          <w:p w14:paraId="4EFEC596" w14:textId="77777777" w:rsidR="000E2404" w:rsidRDefault="000E2404" w:rsidP="002E77BD">
            <w:pPr>
              <w:pStyle w:val="BodyTextafterheading"/>
              <w:cnfStyle w:val="000000010000" w:firstRow="0" w:lastRow="0" w:firstColumn="0" w:lastColumn="0" w:oddVBand="0" w:evenVBand="0" w:oddHBand="0" w:evenHBand="1" w:firstRowFirstColumn="0" w:firstRowLastColumn="0" w:lastRowFirstColumn="0" w:lastRowLastColumn="0"/>
            </w:pPr>
          </w:p>
        </w:tc>
      </w:tr>
      <w:tr w:rsidR="000E2404" w14:paraId="4BE1254A" w14:textId="77777777" w:rsidTr="000E2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C934E8D" w14:textId="77777777" w:rsidR="000E2404" w:rsidRDefault="000E2404" w:rsidP="002E77BD">
            <w:pPr>
              <w:pStyle w:val="BodyTextafterheading"/>
            </w:pPr>
          </w:p>
        </w:tc>
        <w:tc>
          <w:tcPr>
            <w:tcW w:w="3117" w:type="dxa"/>
          </w:tcPr>
          <w:p w14:paraId="4A39624B" w14:textId="77777777" w:rsidR="000E2404" w:rsidRDefault="000E2404"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3117" w:type="dxa"/>
          </w:tcPr>
          <w:p w14:paraId="167CC6BE" w14:textId="77777777" w:rsidR="000E2404" w:rsidRDefault="000E2404" w:rsidP="002E77BD">
            <w:pPr>
              <w:pStyle w:val="BodyTextafterheading"/>
              <w:cnfStyle w:val="000000100000" w:firstRow="0" w:lastRow="0" w:firstColumn="0" w:lastColumn="0" w:oddVBand="0" w:evenVBand="0" w:oddHBand="1" w:evenHBand="0" w:firstRowFirstColumn="0" w:firstRowLastColumn="0" w:lastRowFirstColumn="0" w:lastRowLastColumn="0"/>
            </w:pPr>
          </w:p>
        </w:tc>
      </w:tr>
    </w:tbl>
    <w:p w14:paraId="07FD364D" w14:textId="33CF3800" w:rsidR="000E2404" w:rsidRDefault="000E2404">
      <w:pPr>
        <w:rPr>
          <w:rStyle w:val="Strong"/>
        </w:rPr>
      </w:pPr>
    </w:p>
    <w:p w14:paraId="6FD20A84" w14:textId="6BB99315" w:rsidR="002E77BD" w:rsidRPr="000967CA" w:rsidRDefault="002E77BD" w:rsidP="00D37E78">
      <w:pPr>
        <w:pStyle w:val="Heading3"/>
        <w:rPr>
          <w:rStyle w:val="Strong"/>
          <w:bCs w:val="0"/>
        </w:rPr>
      </w:pPr>
      <w:r w:rsidRPr="000967CA">
        <w:rPr>
          <w:rStyle w:val="Strong"/>
          <w:b/>
          <w:bCs w:val="0"/>
        </w:rPr>
        <w:t>Capacity Development</w:t>
      </w:r>
    </w:p>
    <w:p w14:paraId="67EA6176" w14:textId="716B1BDC" w:rsidR="002E77BD" w:rsidRDefault="002E77BD" w:rsidP="00DB35DD">
      <w:pPr>
        <w:pStyle w:val="BodyTextafterheading"/>
        <w:numPr>
          <w:ilvl w:val="0"/>
          <w:numId w:val="16"/>
        </w:numPr>
      </w:pPr>
      <w:r>
        <w:t xml:space="preserve">In table </w:t>
      </w:r>
      <w:r w:rsidR="00A10C89">
        <w:t>1</w:t>
      </w:r>
      <w:r w:rsidR="005715B3">
        <w:t>2</w:t>
      </w:r>
      <w:r>
        <w:t xml:space="preserve">, document </w:t>
      </w:r>
      <w:r w:rsidR="00A10C89">
        <w:t>the LMHA’s or LBHA’s</w:t>
      </w:r>
      <w:r>
        <w:t xml:space="preserve"> procurement activity since the submission of </w:t>
      </w:r>
      <w:r w:rsidR="00A10C89">
        <w:t>the fiscal year</w:t>
      </w:r>
      <w:r w:rsidR="00016FC6">
        <w:t xml:space="preserve"> </w:t>
      </w:r>
      <w:r>
        <w:t>202</w:t>
      </w:r>
      <w:r w:rsidR="00016FC6">
        <w:t>3</w:t>
      </w:r>
      <w:r>
        <w:t xml:space="preserve"> LPND p</w:t>
      </w:r>
      <w:r w:rsidR="00895D36">
        <w:t>lan</w:t>
      </w:r>
      <w:r>
        <w:t xml:space="preserve">. Include procurements implemented as part of the LPND plan and any other procurements for </w:t>
      </w:r>
      <w:r w:rsidR="00446D4D">
        <w:t xml:space="preserve">full </w:t>
      </w:r>
      <w:r w:rsidR="008E5F06">
        <w:t>LOCs</w:t>
      </w:r>
      <w:r>
        <w:t xml:space="preserve"> and specialty services that have been conducted.</w:t>
      </w:r>
    </w:p>
    <w:p w14:paraId="25A9E148" w14:textId="75772F39" w:rsidR="002E77BD" w:rsidRDefault="002E77BD" w:rsidP="00DB35DD">
      <w:pPr>
        <w:pStyle w:val="BodyTextafterheading"/>
        <w:numPr>
          <w:ilvl w:val="1"/>
          <w:numId w:val="16"/>
        </w:numPr>
      </w:pPr>
      <w:r>
        <w:t>List each service separately, including the percent of capacity offered and the geographic area in which the service was procured.</w:t>
      </w:r>
    </w:p>
    <w:p w14:paraId="013452D7" w14:textId="0FE67EB6" w:rsidR="002E77BD" w:rsidRDefault="002E77BD" w:rsidP="00DB35DD">
      <w:pPr>
        <w:pStyle w:val="BodyTextafterheading"/>
        <w:numPr>
          <w:ilvl w:val="1"/>
          <w:numId w:val="16"/>
        </w:numPr>
      </w:pPr>
      <w:r>
        <w:t xml:space="preserve">State the results, including the number of providers obtained and the percent of service capacity contracted </w:t>
      </w:r>
      <w:r w:rsidR="00A57166">
        <w:t>because of</w:t>
      </w:r>
      <w:r>
        <w:t xml:space="preserve"> the procurement. If no providers were obtained </w:t>
      </w:r>
      <w:r w:rsidR="00A57166">
        <w:t>because of</w:t>
      </w:r>
      <w:r>
        <w:t xml:space="preserve"> procurement efforts, state “none.”</w:t>
      </w:r>
    </w:p>
    <w:p w14:paraId="5836F933" w14:textId="596911F2" w:rsidR="00485ACF" w:rsidRPr="00485ACF" w:rsidRDefault="00485ACF" w:rsidP="00B63753">
      <w:pPr>
        <w:pStyle w:val="BodyText"/>
        <w:spacing w:after="0"/>
        <w:rPr>
          <w:b/>
          <w:bCs/>
        </w:rPr>
      </w:pPr>
      <w:r w:rsidRPr="00B72E2D">
        <w:rPr>
          <w:rStyle w:val="Strong"/>
        </w:rPr>
        <w:t>Table 1</w:t>
      </w:r>
      <w:r w:rsidR="005715B3">
        <w:rPr>
          <w:rStyle w:val="Strong"/>
        </w:rPr>
        <w:t>2</w:t>
      </w:r>
      <w:r w:rsidRPr="00B72E2D">
        <w:rPr>
          <w:rStyle w:val="Strong"/>
        </w:rPr>
        <w:t>:</w:t>
      </w:r>
      <w:r w:rsidR="000B1F34">
        <w:rPr>
          <w:rStyle w:val="Strong"/>
        </w:rPr>
        <w:t xml:space="preserve"> </w:t>
      </w:r>
      <w:r w:rsidR="00124226">
        <w:rPr>
          <w:rStyle w:val="Strong"/>
        </w:rPr>
        <w:t>Procurement Activities</w:t>
      </w:r>
    </w:p>
    <w:tbl>
      <w:tblPr>
        <w:tblStyle w:val="HHSTableforTextData"/>
        <w:tblW w:w="9625" w:type="dxa"/>
        <w:tblLook w:val="04A0" w:firstRow="1" w:lastRow="0" w:firstColumn="1" w:lastColumn="0" w:noHBand="0" w:noVBand="1"/>
      </w:tblPr>
      <w:tblGrid>
        <w:gridCol w:w="1345"/>
        <w:gridCol w:w="4888"/>
        <w:gridCol w:w="3392"/>
      </w:tblGrid>
      <w:tr w:rsidR="00521CD8" w14:paraId="0E914E14" w14:textId="77777777" w:rsidTr="00D37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63F4EAD9" w14:textId="7DF90877" w:rsidR="00521CD8" w:rsidRDefault="00485ACF" w:rsidP="005E6F74">
            <w:pPr>
              <w:pStyle w:val="BodyTextafterheading"/>
            </w:pPr>
            <w:r>
              <w:t>Year</w:t>
            </w:r>
          </w:p>
        </w:tc>
        <w:tc>
          <w:tcPr>
            <w:tcW w:w="4888" w:type="dxa"/>
            <w:vAlign w:val="center"/>
          </w:tcPr>
          <w:p w14:paraId="45E27EB8" w14:textId="5E36E46E" w:rsidR="00521CD8" w:rsidRDefault="00485ACF" w:rsidP="005E6F74">
            <w:pPr>
              <w:pStyle w:val="BodyTextafterheading"/>
              <w:cnfStyle w:val="100000000000" w:firstRow="1" w:lastRow="0" w:firstColumn="0" w:lastColumn="0" w:oddVBand="0" w:evenVBand="0" w:oddHBand="0" w:evenHBand="0" w:firstRowFirstColumn="0" w:firstRowLastColumn="0" w:lastRowFirstColumn="0" w:lastRowLastColumn="0"/>
            </w:pPr>
            <w:r>
              <w:t xml:space="preserve">Procurement (Service, </w:t>
            </w:r>
            <w:r w:rsidR="000B1F34">
              <w:t xml:space="preserve">% </w:t>
            </w:r>
            <w:r>
              <w:t>of Capacity, Geographic Area)</w:t>
            </w:r>
          </w:p>
        </w:tc>
        <w:tc>
          <w:tcPr>
            <w:tcW w:w="3392" w:type="dxa"/>
            <w:vAlign w:val="center"/>
          </w:tcPr>
          <w:p w14:paraId="1D24244D" w14:textId="01458562" w:rsidR="00521CD8" w:rsidRDefault="00485ACF" w:rsidP="005E6F74">
            <w:pPr>
              <w:pStyle w:val="BodyTextafterheading"/>
              <w:cnfStyle w:val="100000000000" w:firstRow="1" w:lastRow="0" w:firstColumn="0" w:lastColumn="0" w:oddVBand="0" w:evenVBand="0" w:oddHBand="0" w:evenHBand="0" w:firstRowFirstColumn="0" w:firstRowLastColumn="0" w:lastRowFirstColumn="0" w:lastRowLastColumn="0"/>
            </w:pPr>
            <w:r>
              <w:t>Results (Providers and Capacity)</w:t>
            </w:r>
          </w:p>
        </w:tc>
      </w:tr>
      <w:tr w:rsidR="00521CD8" w14:paraId="025736FC"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776D2044" w14:textId="77777777" w:rsidR="00521CD8" w:rsidRDefault="00521CD8" w:rsidP="002E77BD">
            <w:pPr>
              <w:pStyle w:val="BodyTextafterheading"/>
            </w:pPr>
          </w:p>
        </w:tc>
        <w:tc>
          <w:tcPr>
            <w:tcW w:w="4888" w:type="dxa"/>
          </w:tcPr>
          <w:p w14:paraId="307BCA17" w14:textId="77777777" w:rsidR="00521CD8" w:rsidRDefault="00521CD8"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3392" w:type="dxa"/>
          </w:tcPr>
          <w:p w14:paraId="180491B9" w14:textId="77777777" w:rsidR="00521CD8" w:rsidRDefault="00521CD8"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521CD8" w14:paraId="2D41194B"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66E50DAD" w14:textId="77777777" w:rsidR="00521CD8" w:rsidRDefault="00521CD8" w:rsidP="002E77BD">
            <w:pPr>
              <w:pStyle w:val="BodyTextafterheading"/>
            </w:pPr>
          </w:p>
        </w:tc>
        <w:tc>
          <w:tcPr>
            <w:tcW w:w="4888" w:type="dxa"/>
          </w:tcPr>
          <w:p w14:paraId="7C4AA586" w14:textId="77777777" w:rsidR="00521CD8" w:rsidRDefault="00521CD8"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3392" w:type="dxa"/>
          </w:tcPr>
          <w:p w14:paraId="56BD0A4D" w14:textId="77777777" w:rsidR="00521CD8" w:rsidRDefault="00521CD8" w:rsidP="002E77BD">
            <w:pPr>
              <w:pStyle w:val="BodyTextafterheading"/>
              <w:cnfStyle w:val="000000010000" w:firstRow="0" w:lastRow="0" w:firstColumn="0" w:lastColumn="0" w:oddVBand="0" w:evenVBand="0" w:oddHBand="0" w:evenHBand="1" w:firstRowFirstColumn="0" w:firstRowLastColumn="0" w:lastRowFirstColumn="0" w:lastRowLastColumn="0"/>
            </w:pPr>
          </w:p>
        </w:tc>
      </w:tr>
      <w:tr w:rsidR="00521CD8" w14:paraId="191B7974"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35742C9C" w14:textId="77777777" w:rsidR="00521CD8" w:rsidRDefault="00521CD8" w:rsidP="002E77BD">
            <w:pPr>
              <w:pStyle w:val="BodyTextafterheading"/>
            </w:pPr>
          </w:p>
        </w:tc>
        <w:tc>
          <w:tcPr>
            <w:tcW w:w="4888" w:type="dxa"/>
          </w:tcPr>
          <w:p w14:paraId="44E038C2" w14:textId="77777777" w:rsidR="00521CD8" w:rsidRDefault="00521CD8"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3392" w:type="dxa"/>
          </w:tcPr>
          <w:p w14:paraId="68EE4D61" w14:textId="77777777" w:rsidR="00521CD8" w:rsidRDefault="00521CD8" w:rsidP="002E77BD">
            <w:pPr>
              <w:pStyle w:val="BodyTextafterheading"/>
              <w:cnfStyle w:val="000000100000" w:firstRow="0" w:lastRow="0" w:firstColumn="0" w:lastColumn="0" w:oddVBand="0" w:evenVBand="0" w:oddHBand="1" w:evenHBand="0" w:firstRowFirstColumn="0" w:firstRowLastColumn="0" w:lastRowFirstColumn="0" w:lastRowLastColumn="0"/>
            </w:pPr>
          </w:p>
        </w:tc>
      </w:tr>
    </w:tbl>
    <w:p w14:paraId="4F5AA0C0" w14:textId="77777777" w:rsidR="002E77BD" w:rsidRDefault="002E77BD" w:rsidP="002E77BD">
      <w:pPr>
        <w:pStyle w:val="BodyTextafterheading"/>
      </w:pPr>
    </w:p>
    <w:p w14:paraId="259EFB0B" w14:textId="51037382" w:rsidR="00F22827" w:rsidRDefault="00F22827">
      <w:r>
        <w:br w:type="page"/>
      </w:r>
    </w:p>
    <w:p w14:paraId="5F11A35F" w14:textId="7D2AF70B" w:rsidR="002E77BD" w:rsidRPr="000B1F34" w:rsidRDefault="002E77BD" w:rsidP="007B7CA4">
      <w:pPr>
        <w:pStyle w:val="Heading2"/>
        <w:rPr>
          <w:rStyle w:val="Strong"/>
          <w:bCs w:val="0"/>
        </w:rPr>
      </w:pPr>
      <w:r w:rsidRPr="000B1F34">
        <w:rPr>
          <w:rStyle w:val="Strong"/>
          <w:b/>
          <w:bCs w:val="0"/>
        </w:rPr>
        <w:t>PART III</w:t>
      </w:r>
      <w:r w:rsidR="00A10C89" w:rsidRPr="000B1F34">
        <w:rPr>
          <w:rStyle w:val="Strong"/>
          <w:b/>
          <w:bCs w:val="0"/>
        </w:rPr>
        <w:t xml:space="preserve">: </w:t>
      </w:r>
      <w:r w:rsidRPr="000B1F34">
        <w:rPr>
          <w:rStyle w:val="Strong"/>
          <w:b/>
          <w:bCs w:val="0"/>
        </w:rPr>
        <w:t>Required for all LMHAs and LBHAs</w:t>
      </w:r>
    </w:p>
    <w:p w14:paraId="42B54D33" w14:textId="77777777" w:rsidR="002E77BD" w:rsidRPr="00485ACF" w:rsidRDefault="002E77BD" w:rsidP="007B7CA4">
      <w:pPr>
        <w:pStyle w:val="Heading3"/>
      </w:pPr>
      <w:r w:rsidRPr="00485ACF">
        <w:t>PNAC Involvement</w:t>
      </w:r>
    </w:p>
    <w:p w14:paraId="405F87A0" w14:textId="6949DB81" w:rsidR="002E77BD" w:rsidRDefault="00DA2675" w:rsidP="00DB35DD">
      <w:pPr>
        <w:pStyle w:val="BodyTextafterheading"/>
        <w:numPr>
          <w:ilvl w:val="0"/>
          <w:numId w:val="16"/>
        </w:numPr>
      </w:pPr>
      <w:r>
        <w:t>Complete table 1</w:t>
      </w:r>
      <w:r w:rsidR="005715B3">
        <w:t>3</w:t>
      </w:r>
      <w:r>
        <w:t xml:space="preserve"> to s</w:t>
      </w:r>
      <w:r w:rsidR="002E77BD">
        <w:t xml:space="preserve">how </w:t>
      </w:r>
      <w:r w:rsidR="005E6F74">
        <w:t>PNAC</w:t>
      </w:r>
      <w:r w:rsidR="002E77BD">
        <w:t xml:space="preserve"> involvement. PNAC activities should include input into the development of the plan and review of the draft plan. Briefly document the activity and the committee’s recommendations.</w:t>
      </w:r>
      <w:r w:rsidR="00222BE1">
        <w:t xml:space="preserve"> Add additional lines as needed.</w:t>
      </w:r>
    </w:p>
    <w:p w14:paraId="37FFE587" w14:textId="7A965953" w:rsidR="008E6A3A" w:rsidRPr="008E6A3A" w:rsidRDefault="008E6A3A" w:rsidP="00B63753">
      <w:pPr>
        <w:pStyle w:val="BodyText"/>
        <w:spacing w:after="0"/>
        <w:rPr>
          <w:rStyle w:val="Strong"/>
        </w:rPr>
      </w:pPr>
      <w:r w:rsidRPr="008E6A3A">
        <w:rPr>
          <w:rStyle w:val="Strong"/>
        </w:rPr>
        <w:t>Table 1</w:t>
      </w:r>
      <w:r w:rsidR="005715B3">
        <w:rPr>
          <w:rStyle w:val="Strong"/>
        </w:rPr>
        <w:t>3</w:t>
      </w:r>
      <w:r w:rsidRPr="008E6A3A">
        <w:rPr>
          <w:rStyle w:val="Strong"/>
        </w:rPr>
        <w:t>:</w:t>
      </w:r>
      <w:r w:rsidR="004C051B">
        <w:rPr>
          <w:rStyle w:val="Strong"/>
        </w:rPr>
        <w:t xml:space="preserve"> </w:t>
      </w:r>
      <w:r w:rsidR="00654295">
        <w:rPr>
          <w:rStyle w:val="Strong"/>
        </w:rPr>
        <w:t>PNAC Involvement</w:t>
      </w:r>
    </w:p>
    <w:tbl>
      <w:tblPr>
        <w:tblStyle w:val="HHSTableforTextData"/>
        <w:tblW w:w="0" w:type="auto"/>
        <w:tblLook w:val="04A0" w:firstRow="1" w:lastRow="0" w:firstColumn="1" w:lastColumn="0" w:noHBand="0" w:noVBand="1"/>
      </w:tblPr>
      <w:tblGrid>
        <w:gridCol w:w="4675"/>
        <w:gridCol w:w="4675"/>
      </w:tblGrid>
      <w:tr w:rsidR="00485ACF" w14:paraId="6AB7A3D8" w14:textId="77777777" w:rsidTr="00485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2DC7F5E" w14:textId="1528A6FF" w:rsidR="00485ACF" w:rsidRDefault="00485ACF" w:rsidP="002E77BD">
            <w:pPr>
              <w:pStyle w:val="BodyTextafterheading"/>
            </w:pPr>
            <w:r>
              <w:t>Date</w:t>
            </w:r>
          </w:p>
        </w:tc>
        <w:tc>
          <w:tcPr>
            <w:tcW w:w="4675" w:type="dxa"/>
          </w:tcPr>
          <w:p w14:paraId="500F0174" w14:textId="1F4170D0" w:rsidR="00485ACF" w:rsidRDefault="00485ACF" w:rsidP="002E77BD">
            <w:pPr>
              <w:pStyle w:val="BodyTextafterheading"/>
              <w:cnfStyle w:val="100000000000" w:firstRow="1" w:lastRow="0" w:firstColumn="0" w:lastColumn="0" w:oddVBand="0" w:evenVBand="0" w:oddHBand="0" w:evenHBand="0" w:firstRowFirstColumn="0" w:firstRowLastColumn="0" w:lastRowFirstColumn="0" w:lastRowLastColumn="0"/>
            </w:pPr>
            <w:r>
              <w:t>PNAC Activity and Recommendations</w:t>
            </w:r>
          </w:p>
        </w:tc>
      </w:tr>
      <w:tr w:rsidR="00485ACF" w14:paraId="1461BDE8" w14:textId="77777777" w:rsidTr="00485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215741B" w14:textId="77777777" w:rsidR="00485ACF" w:rsidRDefault="00485ACF" w:rsidP="002E77BD">
            <w:pPr>
              <w:pStyle w:val="BodyTextafterheading"/>
            </w:pPr>
          </w:p>
        </w:tc>
        <w:tc>
          <w:tcPr>
            <w:tcW w:w="4675" w:type="dxa"/>
          </w:tcPr>
          <w:p w14:paraId="2C13F319" w14:textId="77777777" w:rsidR="00485ACF" w:rsidRDefault="00485ACF"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485ACF" w14:paraId="7934BF27" w14:textId="77777777" w:rsidTr="00485A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4BF2D20" w14:textId="77777777" w:rsidR="00485ACF" w:rsidRDefault="00485ACF" w:rsidP="002E77BD">
            <w:pPr>
              <w:pStyle w:val="BodyTextafterheading"/>
            </w:pPr>
          </w:p>
        </w:tc>
        <w:tc>
          <w:tcPr>
            <w:tcW w:w="4675" w:type="dxa"/>
          </w:tcPr>
          <w:p w14:paraId="3532CED0" w14:textId="77777777" w:rsidR="00485ACF" w:rsidRDefault="00485ACF" w:rsidP="002E77BD">
            <w:pPr>
              <w:pStyle w:val="BodyTextafterheading"/>
              <w:cnfStyle w:val="000000010000" w:firstRow="0" w:lastRow="0" w:firstColumn="0" w:lastColumn="0" w:oddVBand="0" w:evenVBand="0" w:oddHBand="0" w:evenHBand="1" w:firstRowFirstColumn="0" w:firstRowLastColumn="0" w:lastRowFirstColumn="0" w:lastRowLastColumn="0"/>
            </w:pPr>
          </w:p>
        </w:tc>
      </w:tr>
      <w:tr w:rsidR="00485ACF" w14:paraId="4E23C01D" w14:textId="77777777" w:rsidTr="00485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79620D8" w14:textId="77777777" w:rsidR="00485ACF" w:rsidRDefault="00485ACF" w:rsidP="002E77BD">
            <w:pPr>
              <w:pStyle w:val="BodyTextafterheading"/>
            </w:pPr>
          </w:p>
        </w:tc>
        <w:tc>
          <w:tcPr>
            <w:tcW w:w="4675" w:type="dxa"/>
          </w:tcPr>
          <w:p w14:paraId="5576EB0A" w14:textId="77777777" w:rsidR="00485ACF" w:rsidRDefault="00485ACF" w:rsidP="002E77BD">
            <w:pPr>
              <w:pStyle w:val="BodyTextafterheading"/>
              <w:cnfStyle w:val="000000100000" w:firstRow="0" w:lastRow="0" w:firstColumn="0" w:lastColumn="0" w:oddVBand="0" w:evenVBand="0" w:oddHBand="1" w:evenHBand="0" w:firstRowFirstColumn="0" w:firstRowLastColumn="0" w:lastRowFirstColumn="0" w:lastRowLastColumn="0"/>
            </w:pPr>
          </w:p>
        </w:tc>
      </w:tr>
    </w:tbl>
    <w:p w14:paraId="230294AC" w14:textId="0B2A8CDF" w:rsidR="002E77BD" w:rsidRPr="004C051B" w:rsidRDefault="002E77BD" w:rsidP="000967CA">
      <w:pPr>
        <w:pStyle w:val="Heading3"/>
        <w:rPr>
          <w:rStyle w:val="Strong"/>
          <w:bCs w:val="0"/>
        </w:rPr>
      </w:pPr>
      <w:r w:rsidRPr="004C051B">
        <w:rPr>
          <w:rStyle w:val="Strong"/>
          <w:b/>
          <w:bCs w:val="0"/>
        </w:rPr>
        <w:t>Stakeholder Comments on Draft Plan and LMHA or</w:t>
      </w:r>
      <w:r w:rsidR="00F01599" w:rsidRPr="004C051B">
        <w:rPr>
          <w:rStyle w:val="Strong"/>
          <w:b/>
          <w:bCs w:val="0"/>
        </w:rPr>
        <w:t xml:space="preserve"> </w:t>
      </w:r>
      <w:r w:rsidRPr="004C051B">
        <w:rPr>
          <w:rStyle w:val="Strong"/>
          <w:b/>
          <w:bCs w:val="0"/>
        </w:rPr>
        <w:t>LBHA Response</w:t>
      </w:r>
    </w:p>
    <w:p w14:paraId="350E4CF2" w14:textId="26286ABB" w:rsidR="002E77BD" w:rsidRDefault="002E77BD" w:rsidP="002E77BD">
      <w:pPr>
        <w:pStyle w:val="BodyTextafterheading"/>
      </w:pPr>
      <w:r>
        <w:t xml:space="preserve">Allow at least 30 days for public comment on draft plan. Do not post plans for public comment before </w:t>
      </w:r>
      <w:r w:rsidR="00BE3C9C">
        <w:t>September</w:t>
      </w:r>
      <w:r>
        <w:t xml:space="preserve"> 1, 2024.</w:t>
      </w:r>
    </w:p>
    <w:p w14:paraId="7906131D" w14:textId="037B41F0" w:rsidR="00DB0D37" w:rsidRDefault="002E77BD" w:rsidP="00DB0D37">
      <w:pPr>
        <w:pStyle w:val="BodyTextafterheading"/>
      </w:pPr>
      <w:r>
        <w:t>In table</w:t>
      </w:r>
      <w:r w:rsidR="00DB0D37">
        <w:t xml:space="preserve"> 1</w:t>
      </w:r>
      <w:r w:rsidR="005715B3">
        <w:t>4</w:t>
      </w:r>
      <w:r>
        <w:t xml:space="preserve">, summarize the public comments received on the </w:t>
      </w:r>
      <w:r w:rsidR="00DB0D37">
        <w:t xml:space="preserve">LMHA’s or LBHA’s </w:t>
      </w:r>
      <w:r>
        <w:t>draft plan. If no comments were received, state “</w:t>
      </w:r>
      <w:r w:rsidR="00DB0D37">
        <w:t>n</w:t>
      </w:r>
      <w:r>
        <w:t>one</w:t>
      </w:r>
      <w:r w:rsidR="00DB0D37">
        <w:t xml:space="preserve">”. </w:t>
      </w:r>
      <w:r>
        <w:t xml:space="preserve">Use a separate line for each major point identified during the public comment period and identify the stakeholder group(s) offering the comment. </w:t>
      </w:r>
      <w:r w:rsidR="00222BE1">
        <w:t xml:space="preserve">Add additional lines as needed. </w:t>
      </w:r>
      <w:r>
        <w:t>Describe the LMHA’s or</w:t>
      </w:r>
      <w:r w:rsidR="00DB0D37">
        <w:t xml:space="preserve"> </w:t>
      </w:r>
      <w:r>
        <w:t>LBHA’s response, which might include:</w:t>
      </w:r>
    </w:p>
    <w:p w14:paraId="0BFD514A" w14:textId="77777777" w:rsidR="00DB0D37" w:rsidRDefault="002E77BD" w:rsidP="00DB0D37">
      <w:pPr>
        <w:pStyle w:val="BodyTextafterheading"/>
        <w:numPr>
          <w:ilvl w:val="0"/>
          <w:numId w:val="23"/>
        </w:numPr>
      </w:pPr>
      <w:r>
        <w:t xml:space="preserve">Accepting the comment in full and making corresponding modifications to the </w:t>
      </w:r>
      <w:proofErr w:type="gramStart"/>
      <w:r>
        <w:t>plan;</w:t>
      </w:r>
      <w:proofErr w:type="gramEnd"/>
    </w:p>
    <w:p w14:paraId="0F076577" w14:textId="77777777" w:rsidR="00DB0D37" w:rsidRDefault="002E77BD" w:rsidP="00DB0D37">
      <w:pPr>
        <w:pStyle w:val="BodyTextafterheading"/>
        <w:numPr>
          <w:ilvl w:val="0"/>
          <w:numId w:val="23"/>
        </w:numPr>
      </w:pPr>
      <w:r>
        <w:t>Accepting the comment in part and making corresponding modifications to the plan; or</w:t>
      </w:r>
    </w:p>
    <w:p w14:paraId="234B2BD6" w14:textId="4CAF2694" w:rsidR="002E77BD" w:rsidRDefault="002E77BD" w:rsidP="00DB0D37">
      <w:pPr>
        <w:pStyle w:val="BodyTextafterheading"/>
        <w:numPr>
          <w:ilvl w:val="0"/>
          <w:numId w:val="23"/>
        </w:numPr>
      </w:pPr>
      <w:r>
        <w:t xml:space="preserve">Rejecting the comment. Please </w:t>
      </w:r>
      <w:r w:rsidR="00DB0D37">
        <w:t>provide explanation for</w:t>
      </w:r>
      <w:r>
        <w:t xml:space="preserve"> the LMHA’s or LBHA’s rationale for rejecting comment.</w:t>
      </w:r>
    </w:p>
    <w:p w14:paraId="08E1B749" w14:textId="548B0A30" w:rsidR="008E6A3A" w:rsidRPr="008E6A3A" w:rsidRDefault="008E6A3A" w:rsidP="00B63753">
      <w:pPr>
        <w:pStyle w:val="BodyText"/>
        <w:spacing w:after="0"/>
        <w:rPr>
          <w:rStyle w:val="Strong"/>
        </w:rPr>
      </w:pPr>
      <w:r w:rsidRPr="008E6A3A">
        <w:rPr>
          <w:rStyle w:val="Strong"/>
        </w:rPr>
        <w:t>Table 1</w:t>
      </w:r>
      <w:r w:rsidR="005715B3">
        <w:rPr>
          <w:rStyle w:val="Strong"/>
        </w:rPr>
        <w:t>4</w:t>
      </w:r>
      <w:r w:rsidRPr="008E6A3A">
        <w:rPr>
          <w:rStyle w:val="Strong"/>
        </w:rPr>
        <w:t>:</w:t>
      </w:r>
      <w:r w:rsidR="004C051B">
        <w:rPr>
          <w:rStyle w:val="Strong"/>
        </w:rPr>
        <w:t xml:space="preserve"> </w:t>
      </w:r>
      <w:r w:rsidR="0020275A">
        <w:rPr>
          <w:rStyle w:val="Strong"/>
        </w:rPr>
        <w:t>Public Comments</w:t>
      </w:r>
    </w:p>
    <w:tbl>
      <w:tblPr>
        <w:tblStyle w:val="HHSTableforTextData"/>
        <w:tblW w:w="0" w:type="auto"/>
        <w:tblLook w:val="04A0" w:firstRow="1" w:lastRow="0" w:firstColumn="1" w:lastColumn="0" w:noHBand="0" w:noVBand="1"/>
      </w:tblPr>
      <w:tblGrid>
        <w:gridCol w:w="3116"/>
        <w:gridCol w:w="3117"/>
        <w:gridCol w:w="3117"/>
      </w:tblGrid>
      <w:tr w:rsidR="00EB4D8F" w14:paraId="3358E065" w14:textId="77777777" w:rsidTr="00EB4D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2302D3E" w14:textId="1A9284E6" w:rsidR="00EB4D8F" w:rsidRDefault="00EB4D8F" w:rsidP="002E77BD">
            <w:pPr>
              <w:pStyle w:val="BodyTextafterheading"/>
            </w:pPr>
            <w:r>
              <w:t>Comment</w:t>
            </w:r>
          </w:p>
        </w:tc>
        <w:tc>
          <w:tcPr>
            <w:tcW w:w="3117" w:type="dxa"/>
          </w:tcPr>
          <w:p w14:paraId="4D447FC2" w14:textId="600B83EB" w:rsidR="00EB4D8F" w:rsidRDefault="00EB4D8F" w:rsidP="002E77BD">
            <w:pPr>
              <w:pStyle w:val="BodyTextafterheading"/>
              <w:cnfStyle w:val="100000000000" w:firstRow="1" w:lastRow="0" w:firstColumn="0" w:lastColumn="0" w:oddVBand="0" w:evenVBand="0" w:oddHBand="0" w:evenHBand="0" w:firstRowFirstColumn="0" w:firstRowLastColumn="0" w:lastRowFirstColumn="0" w:lastRowLastColumn="0"/>
            </w:pPr>
            <w:r>
              <w:t>Stakeholder Group(s)</w:t>
            </w:r>
          </w:p>
        </w:tc>
        <w:tc>
          <w:tcPr>
            <w:tcW w:w="3117" w:type="dxa"/>
          </w:tcPr>
          <w:p w14:paraId="57E62651" w14:textId="7667CF02" w:rsidR="00EB4D8F" w:rsidRDefault="00EB4D8F" w:rsidP="002E77BD">
            <w:pPr>
              <w:pStyle w:val="BodyTextafterheading"/>
              <w:cnfStyle w:val="100000000000" w:firstRow="1" w:lastRow="0" w:firstColumn="0" w:lastColumn="0" w:oddVBand="0" w:evenVBand="0" w:oddHBand="0" w:evenHBand="0" w:firstRowFirstColumn="0" w:firstRowLastColumn="0" w:lastRowFirstColumn="0" w:lastRowLastColumn="0"/>
            </w:pPr>
            <w:r>
              <w:t>LMHA or LBHA Response and Rationale</w:t>
            </w:r>
          </w:p>
        </w:tc>
      </w:tr>
      <w:tr w:rsidR="00EB4D8F" w14:paraId="7D4ABB23" w14:textId="77777777" w:rsidTr="00EB4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3A55CE7" w14:textId="77777777" w:rsidR="00EB4D8F" w:rsidRDefault="00EB4D8F" w:rsidP="002E77BD">
            <w:pPr>
              <w:pStyle w:val="BodyTextafterheading"/>
            </w:pPr>
          </w:p>
        </w:tc>
        <w:tc>
          <w:tcPr>
            <w:tcW w:w="3117" w:type="dxa"/>
          </w:tcPr>
          <w:p w14:paraId="29E9FE6F" w14:textId="77777777" w:rsidR="00EB4D8F" w:rsidRDefault="00EB4D8F"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3117" w:type="dxa"/>
          </w:tcPr>
          <w:p w14:paraId="10D2AD30" w14:textId="77777777" w:rsidR="00EB4D8F" w:rsidRDefault="00EB4D8F"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EB4D8F" w14:paraId="1809C9FA" w14:textId="77777777" w:rsidTr="00EB4D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6FA3077" w14:textId="77777777" w:rsidR="00EB4D8F" w:rsidRDefault="00EB4D8F" w:rsidP="002E77BD">
            <w:pPr>
              <w:pStyle w:val="BodyTextafterheading"/>
            </w:pPr>
          </w:p>
        </w:tc>
        <w:tc>
          <w:tcPr>
            <w:tcW w:w="3117" w:type="dxa"/>
          </w:tcPr>
          <w:p w14:paraId="37221DB9" w14:textId="77777777" w:rsidR="00EB4D8F" w:rsidRDefault="00EB4D8F"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3117" w:type="dxa"/>
          </w:tcPr>
          <w:p w14:paraId="32DB098A" w14:textId="77777777" w:rsidR="00EB4D8F" w:rsidRDefault="00EB4D8F" w:rsidP="002E77BD">
            <w:pPr>
              <w:pStyle w:val="BodyTextafterheading"/>
              <w:cnfStyle w:val="000000010000" w:firstRow="0" w:lastRow="0" w:firstColumn="0" w:lastColumn="0" w:oddVBand="0" w:evenVBand="0" w:oddHBand="0" w:evenHBand="1" w:firstRowFirstColumn="0" w:firstRowLastColumn="0" w:lastRowFirstColumn="0" w:lastRowLastColumn="0"/>
            </w:pPr>
          </w:p>
        </w:tc>
      </w:tr>
    </w:tbl>
    <w:p w14:paraId="4956E911" w14:textId="77777777" w:rsidR="00EB4D8F" w:rsidRDefault="00EB4D8F" w:rsidP="002E77BD">
      <w:pPr>
        <w:pStyle w:val="BodyTextafterheading"/>
      </w:pPr>
    </w:p>
    <w:p w14:paraId="5379E48D" w14:textId="1DDB495C" w:rsidR="00212C23" w:rsidRDefault="002E77BD" w:rsidP="002E77BD">
      <w:pPr>
        <w:pStyle w:val="BodyTextafterheading"/>
      </w:pPr>
      <w:r>
        <w:t>C</w:t>
      </w:r>
      <w:r w:rsidR="00CC055A">
        <w:t>omplete and submit en</w:t>
      </w:r>
      <w:r w:rsidR="003D6575">
        <w:t>tire plan to</w:t>
      </w:r>
      <w:r>
        <w:t xml:space="preserve"> </w:t>
      </w:r>
      <w:hyperlink r:id="rId14" w:history="1">
        <w:r w:rsidR="00222BE1" w:rsidRPr="007919BE">
          <w:rPr>
            <w:rStyle w:val="Hyperlink"/>
            <w:rFonts w:cstheme="minorBidi"/>
          </w:rPr>
          <w:t>Performance.Contracts@hhs.texas.gov</w:t>
        </w:r>
      </w:hyperlink>
      <w:r w:rsidR="00222BE1">
        <w:rPr>
          <w:rStyle w:val="Strong"/>
        </w:rPr>
        <w:t xml:space="preserve"> </w:t>
      </w:r>
      <w:r>
        <w:t xml:space="preserve">by </w:t>
      </w:r>
      <w:r w:rsidR="00CC055A" w:rsidRPr="003D6575">
        <w:rPr>
          <w:rStyle w:val="Strong"/>
        </w:rPr>
        <w:t>December 31, 2024</w:t>
      </w:r>
      <w:r>
        <w:t>.</w:t>
      </w:r>
    </w:p>
    <w:p w14:paraId="1770EC43" w14:textId="55671B20" w:rsidR="002E77BD" w:rsidRDefault="00212C23" w:rsidP="00212C23">
      <w:r>
        <w:br w:type="page"/>
      </w:r>
    </w:p>
    <w:p w14:paraId="628CD8B8" w14:textId="50571CCA" w:rsidR="002E77BD" w:rsidRPr="00DB0D37" w:rsidRDefault="002E77BD" w:rsidP="008D34F9">
      <w:pPr>
        <w:pStyle w:val="Heading2"/>
        <w:rPr>
          <w:bCs/>
        </w:rPr>
      </w:pPr>
      <w:r w:rsidRPr="00DB0D37">
        <w:rPr>
          <w:bCs/>
        </w:rPr>
        <w:t>A</w:t>
      </w:r>
      <w:r w:rsidR="006343EC">
        <w:rPr>
          <w:bCs/>
        </w:rPr>
        <w:t>ppendix A: A</w:t>
      </w:r>
      <w:r w:rsidRPr="00DB0D37">
        <w:rPr>
          <w:bCs/>
        </w:rPr>
        <w:t>ssessing Provider Availability</w:t>
      </w:r>
    </w:p>
    <w:p w14:paraId="7D47DB1B" w14:textId="5D45ACB6" w:rsidR="002E77BD" w:rsidRDefault="002E77BD" w:rsidP="002E77BD">
      <w:pPr>
        <w:pStyle w:val="BodyTextafterheading"/>
      </w:pPr>
      <w:r>
        <w:t xml:space="preserve">Provider organizations can indicate interest in contracting with an LMHA or LBHA through the </w:t>
      </w:r>
      <w:hyperlink r:id="rId15" w:history="1">
        <w:r w:rsidRPr="00ED1F1F">
          <w:rPr>
            <w:rStyle w:val="Hyperlink"/>
            <w:rFonts w:cstheme="minorBidi"/>
          </w:rPr>
          <w:t>LPND website</w:t>
        </w:r>
      </w:hyperlink>
      <w:r>
        <w:t xml:space="preserve"> or by contacting the LMHA or LBHA directly. On the LPND website, a provider organization can submit a Provider Inquiry Form that includes key information about the provider. HHSC will notify both the provider and the LMHA or LBHA when the Provider Inquiry Form is posted. </w:t>
      </w:r>
    </w:p>
    <w:p w14:paraId="448B7195" w14:textId="59606445" w:rsidR="002E77BD" w:rsidRDefault="002E77BD" w:rsidP="002E77BD">
      <w:pPr>
        <w:pStyle w:val="BodyTextafterheading"/>
      </w:pPr>
      <w:r>
        <w:t>During its assessment of provider availability, it is the responsibility of the LMHA or</w:t>
      </w:r>
      <w:r w:rsidR="00E431B1">
        <w:t xml:space="preserve"> </w:t>
      </w:r>
      <w:r>
        <w:t>LBHA to contact potential providers to schedule a time for further discussion. This discussion provides both the LMHA or LBHA and the provider an opportunity to share information so both parties can make a more informed decision about potential procurements.</w:t>
      </w:r>
    </w:p>
    <w:p w14:paraId="41DAF5EA" w14:textId="478CCCA6" w:rsidR="002E77BD" w:rsidRDefault="002E77BD" w:rsidP="002E77BD">
      <w:pPr>
        <w:pStyle w:val="BodyTextafterheading"/>
      </w:pPr>
      <w:r>
        <w:t>The LMHA or LBHA must work with the provider to find a mutually convenient time</w:t>
      </w:r>
      <w:r w:rsidR="007D5310">
        <w:t xml:space="preserve"> for an informational meeting</w:t>
      </w:r>
      <w:r>
        <w:t>. If the provider does not respond to the invitation or is not able to accommodate a teleconference or a site visit within 14 days of the LMHA’s or LBHA’s initial contact, the LMHA or LBHA may conclude that the provider is not interested in contracting with the LMHA or LBHA.</w:t>
      </w:r>
    </w:p>
    <w:p w14:paraId="3DB565AC" w14:textId="55302881" w:rsidR="002E77BD" w:rsidRDefault="002E77BD" w:rsidP="002E77BD">
      <w:pPr>
        <w:pStyle w:val="BodyTextafterheading"/>
      </w:pPr>
      <w:r>
        <w:t>If the LMHA or LBHA does not contact the provider, the LMHA or LBHA must assume the provider is interested in contracting with the LMHA or LBHA.</w:t>
      </w:r>
    </w:p>
    <w:p w14:paraId="46A800CF" w14:textId="43B9779A" w:rsidR="002E77BD" w:rsidRDefault="002E77BD" w:rsidP="002E77BD">
      <w:pPr>
        <w:pStyle w:val="BodyTextafterheading"/>
      </w:pPr>
      <w:r>
        <w:t xml:space="preserve">An LMHA or LBHA may not eliminate the provider from consideration during the planning process without evidence the provider is no longer interested or is not qualified of </w:t>
      </w:r>
      <w:r w:rsidR="005E6203">
        <w:t xml:space="preserve">specified </w:t>
      </w:r>
      <w:r>
        <w:t>provider services in accordance with applicable state and local laws and regulations.</w:t>
      </w:r>
    </w:p>
    <w:p w14:paraId="3633DD77" w14:textId="1C14DABC" w:rsidR="00F22827" w:rsidRDefault="00F22827">
      <w:r>
        <w:br w:type="page"/>
      </w:r>
    </w:p>
    <w:p w14:paraId="0A78C11E" w14:textId="4A01B834" w:rsidR="002E77BD" w:rsidRDefault="00371516" w:rsidP="008D34F9">
      <w:pPr>
        <w:pStyle w:val="Heading2"/>
      </w:pPr>
      <w:r>
        <w:t>Appendix B: G</w:t>
      </w:r>
      <w:r w:rsidR="002E77BD" w:rsidRPr="00F65E72">
        <w:t xml:space="preserve">uidance on Conditions Permitting LMHA </w:t>
      </w:r>
      <w:r w:rsidR="009D77D8">
        <w:t xml:space="preserve">and LBHA </w:t>
      </w:r>
      <w:r w:rsidR="002E77BD" w:rsidRPr="00F65E72">
        <w:t>Service Delivery</w:t>
      </w:r>
    </w:p>
    <w:p w14:paraId="5B9FECB8" w14:textId="61239AFA" w:rsidR="002E77BD" w:rsidRDefault="006817E3" w:rsidP="008154B0">
      <w:pPr>
        <w:pStyle w:val="BodyText"/>
      </w:pPr>
      <w:r>
        <w:t xml:space="preserve">In accordance with </w:t>
      </w:r>
      <w:hyperlink r:id="rId16" w:history="1">
        <w:r w:rsidR="00A04070">
          <w:rPr>
            <w:rStyle w:val="Hyperlink"/>
            <w:rFonts w:cstheme="minorBidi"/>
          </w:rPr>
          <w:t>26 TAC Section 301.259</w:t>
        </w:r>
      </w:hyperlink>
      <w:r w:rsidR="008154B0">
        <w:t xml:space="preserve"> a</w:t>
      </w:r>
      <w:r w:rsidR="002E77BD">
        <w:t xml:space="preserve">n LMHA </w:t>
      </w:r>
      <w:r w:rsidR="00A04070">
        <w:t xml:space="preserve">or LBHA </w:t>
      </w:r>
      <w:r w:rsidR="002E77BD">
        <w:t xml:space="preserve">may only provide services if one or more of the following conditions is present. </w:t>
      </w:r>
    </w:p>
    <w:p w14:paraId="711D6577" w14:textId="54E4215D" w:rsidR="003D57C7" w:rsidRDefault="003D57C7" w:rsidP="003D57C7">
      <w:pPr>
        <w:pStyle w:val="BodyTextafterheading"/>
        <w:numPr>
          <w:ilvl w:val="0"/>
          <w:numId w:val="24"/>
        </w:numPr>
      </w:pPr>
      <w:r>
        <w:t xml:space="preserve">The LMHA </w:t>
      </w:r>
      <w:r w:rsidR="00B46525">
        <w:t xml:space="preserve">or LBHA </w:t>
      </w:r>
      <w:r>
        <w:t xml:space="preserve">determines that interested, qualified providers are not available to provide services in the LMHA's </w:t>
      </w:r>
      <w:r w:rsidR="00B46525">
        <w:t xml:space="preserve">or LBHA’s </w:t>
      </w:r>
      <w:r>
        <w:t>service area or that no providers meet procurement specifications.</w:t>
      </w:r>
    </w:p>
    <w:p w14:paraId="0FCA8BC2" w14:textId="4F861E5D" w:rsidR="003D57C7" w:rsidRDefault="003D57C7" w:rsidP="003D57C7">
      <w:pPr>
        <w:pStyle w:val="BodyTextafterheading"/>
        <w:numPr>
          <w:ilvl w:val="0"/>
          <w:numId w:val="24"/>
        </w:numPr>
      </w:pPr>
      <w:r>
        <w:t xml:space="preserve">The network of external providers does not provide the minimum level of individual choice. A minimal level of individual choice is present if </w:t>
      </w:r>
      <w:r w:rsidR="00324000">
        <w:t xml:space="preserve">a person </w:t>
      </w:r>
      <w:r>
        <w:t>and their legally authorized representative</w:t>
      </w:r>
      <w:r w:rsidR="00324000">
        <w:t>(</w:t>
      </w:r>
      <w:r>
        <w:t>s</w:t>
      </w:r>
      <w:r w:rsidR="00324000">
        <w:t>)</w:t>
      </w:r>
      <w:r>
        <w:t xml:space="preserve"> can choose from two or more qualified providers.</w:t>
      </w:r>
    </w:p>
    <w:p w14:paraId="686038F6" w14:textId="19EF53A9" w:rsidR="003D57C7" w:rsidRDefault="003D57C7" w:rsidP="003D57C7">
      <w:pPr>
        <w:pStyle w:val="BodyTextafterheading"/>
        <w:numPr>
          <w:ilvl w:val="0"/>
          <w:numId w:val="24"/>
        </w:numPr>
      </w:pPr>
      <w:r>
        <w:t xml:space="preserve">The network of external providers does not provide </w:t>
      </w:r>
      <w:r w:rsidR="00324000">
        <w:t xml:space="preserve">people </w:t>
      </w:r>
      <w:r>
        <w:t>with access to services that is equal to or better than the level of access in the local network, including services provided by the LMHA</w:t>
      </w:r>
      <w:r w:rsidR="00B46525">
        <w:t xml:space="preserve"> or LBHA</w:t>
      </w:r>
      <w:r>
        <w:t xml:space="preserve">, as of a date determined by the department. An LMHA </w:t>
      </w:r>
      <w:r w:rsidR="00B46525">
        <w:t xml:space="preserve">or LBHA </w:t>
      </w:r>
      <w:r>
        <w:t>relying on this condition must submit the information necessary for the department to verify the level of access.</w:t>
      </w:r>
    </w:p>
    <w:p w14:paraId="4E762B01" w14:textId="642F087D" w:rsidR="003D57C7" w:rsidRDefault="003D57C7" w:rsidP="003D57C7">
      <w:pPr>
        <w:pStyle w:val="BodyTextafterheading"/>
        <w:numPr>
          <w:ilvl w:val="0"/>
          <w:numId w:val="24"/>
        </w:numPr>
      </w:pPr>
      <w:r>
        <w:t xml:space="preserve">The combined volume of services delivered by external providers is not sufficient to meet 100 percent of the LMHA's </w:t>
      </w:r>
      <w:r w:rsidR="00B46525">
        <w:t xml:space="preserve">or LBHA’s </w:t>
      </w:r>
      <w:r>
        <w:t xml:space="preserve">service capacity for each level of care identified in the LMHA's </w:t>
      </w:r>
      <w:r w:rsidR="00B46525">
        <w:t xml:space="preserve">or LBHA’s </w:t>
      </w:r>
      <w:r>
        <w:t>plan.</w:t>
      </w:r>
    </w:p>
    <w:p w14:paraId="265CA5F3" w14:textId="16F0D86C" w:rsidR="003D57C7" w:rsidRDefault="003D57C7" w:rsidP="003D57C7">
      <w:pPr>
        <w:pStyle w:val="BodyTextafterheading"/>
        <w:numPr>
          <w:ilvl w:val="0"/>
          <w:numId w:val="24"/>
        </w:numPr>
      </w:pPr>
      <w:r>
        <w:t xml:space="preserve">Existing agreements restrict the LMHA's </w:t>
      </w:r>
      <w:r w:rsidR="00B46525">
        <w:t xml:space="preserve">or LBHA’s </w:t>
      </w:r>
      <w:r>
        <w:t xml:space="preserve">ability to contract with external providers for specific services during the two-year period covered by the LMHA's </w:t>
      </w:r>
      <w:r w:rsidR="00B46525">
        <w:t xml:space="preserve">or LBHA’s </w:t>
      </w:r>
      <w:r>
        <w:t xml:space="preserve">plan. If the LMHA </w:t>
      </w:r>
      <w:r w:rsidR="00B46525">
        <w:t xml:space="preserve">or LBHA </w:t>
      </w:r>
      <w:r>
        <w:t xml:space="preserve">relies on this condition, the department shall require the LMHA </w:t>
      </w:r>
      <w:r w:rsidR="00B46525">
        <w:t xml:space="preserve">or LBHA </w:t>
      </w:r>
      <w:r>
        <w:t>to submit copies of relevant agreements.</w:t>
      </w:r>
    </w:p>
    <w:p w14:paraId="4B5713EC" w14:textId="50A2C070" w:rsidR="003D57C7" w:rsidRDefault="003D57C7" w:rsidP="003D57C7">
      <w:pPr>
        <w:pStyle w:val="BodyTextafterheading"/>
        <w:numPr>
          <w:ilvl w:val="0"/>
          <w:numId w:val="24"/>
        </w:numPr>
      </w:pPr>
      <w:r>
        <w:t xml:space="preserve">The LMHA </w:t>
      </w:r>
      <w:r w:rsidR="00B46525">
        <w:t xml:space="preserve">and LBHA </w:t>
      </w:r>
      <w:r>
        <w:t xml:space="preserve">documents that it is necessary for the LMHA </w:t>
      </w:r>
      <w:r w:rsidR="00B46525">
        <w:t xml:space="preserve">or LBHA </w:t>
      </w:r>
      <w:r>
        <w:t xml:space="preserve">to provide specified services during the two-year period covered by the LMHA's </w:t>
      </w:r>
      <w:r w:rsidR="00B46525">
        <w:t xml:space="preserve">or LBHA’s </w:t>
      </w:r>
      <w:r>
        <w:t xml:space="preserve">plan to preserve critical infrastructure needed to ensure continuous provision of services. An LMHA </w:t>
      </w:r>
      <w:r w:rsidR="00B46525">
        <w:t xml:space="preserve">or LBHA </w:t>
      </w:r>
      <w:r>
        <w:t>relying on this condition must:</w:t>
      </w:r>
    </w:p>
    <w:p w14:paraId="66A42ADC" w14:textId="44425FCC" w:rsidR="003D57C7" w:rsidRDefault="00F74B49" w:rsidP="005964F6">
      <w:pPr>
        <w:pStyle w:val="BodyTextafterheading"/>
        <w:numPr>
          <w:ilvl w:val="0"/>
          <w:numId w:val="25"/>
        </w:numPr>
      </w:pPr>
      <w:r>
        <w:t>D</w:t>
      </w:r>
      <w:r w:rsidR="003D57C7">
        <w:t xml:space="preserve">ocument that it has evaluated a range of other measures to ensure continuous delivery of services, including but not limited to those identified by the </w:t>
      </w:r>
      <w:r w:rsidR="00B46525">
        <w:t xml:space="preserve">PNAC </w:t>
      </w:r>
      <w:r w:rsidR="003D57C7">
        <w:t xml:space="preserve">and the department at the beginning of each planning </w:t>
      </w:r>
      <w:proofErr w:type="gramStart"/>
      <w:r w:rsidR="003D57C7">
        <w:t>cycle;</w:t>
      </w:r>
      <w:proofErr w:type="gramEnd"/>
    </w:p>
    <w:p w14:paraId="430D29DD" w14:textId="604D83DC" w:rsidR="003D57C7" w:rsidRDefault="00FC05F9" w:rsidP="005964F6">
      <w:pPr>
        <w:pStyle w:val="BodyTextafterheading"/>
        <w:numPr>
          <w:ilvl w:val="0"/>
          <w:numId w:val="25"/>
        </w:numPr>
      </w:pPr>
      <w:r>
        <w:t>D</w:t>
      </w:r>
      <w:r w:rsidR="003D57C7">
        <w:t xml:space="preserve">ocument implementation of appropriate other </w:t>
      </w:r>
      <w:proofErr w:type="gramStart"/>
      <w:r w:rsidR="003D57C7">
        <w:t>measures;</w:t>
      </w:r>
      <w:proofErr w:type="gramEnd"/>
    </w:p>
    <w:p w14:paraId="2E17BA42" w14:textId="21B25E68" w:rsidR="003D57C7" w:rsidRDefault="00FC05F9" w:rsidP="005964F6">
      <w:pPr>
        <w:pStyle w:val="BodyTextafterheading"/>
        <w:numPr>
          <w:ilvl w:val="0"/>
          <w:numId w:val="25"/>
        </w:numPr>
      </w:pPr>
      <w:r>
        <w:t>I</w:t>
      </w:r>
      <w:r w:rsidR="003D57C7">
        <w:t xml:space="preserve">dentify a timeframe for transitioning to an external provider network, during which the LMHA </w:t>
      </w:r>
      <w:r w:rsidR="008819C1">
        <w:t xml:space="preserve">or LBHA </w:t>
      </w:r>
      <w:r w:rsidR="003D57C7">
        <w:t>shall procure an increasing proportion of the service capacity from external provider in successive procurement cycles; and</w:t>
      </w:r>
    </w:p>
    <w:p w14:paraId="44FB06C7" w14:textId="453C7843" w:rsidR="002E77BD" w:rsidRDefault="000862F1" w:rsidP="005964F6">
      <w:pPr>
        <w:pStyle w:val="BodyTextafterheading"/>
        <w:numPr>
          <w:ilvl w:val="0"/>
          <w:numId w:val="25"/>
        </w:numPr>
      </w:pPr>
      <w:r>
        <w:t>G</w:t>
      </w:r>
      <w:r w:rsidR="003D57C7">
        <w:t xml:space="preserve">ive up its role as a service provider at the end of the transition period if the network has multiple external providers and the LMHA </w:t>
      </w:r>
      <w:r w:rsidR="008819C1">
        <w:t xml:space="preserve">or LBHA </w:t>
      </w:r>
      <w:r w:rsidR="003D57C7">
        <w:t xml:space="preserve">determines that external providers are willing and able to provide sufficient added service volume within a reasonable </w:t>
      </w:r>
      <w:proofErr w:type="gramStart"/>
      <w:r w:rsidR="003D57C7">
        <w:t>period of time</w:t>
      </w:r>
      <w:proofErr w:type="gramEnd"/>
      <w:r w:rsidR="003D57C7">
        <w:t xml:space="preserve"> to compensate for service volume lost should any one of the external provider contracts be terminated.</w:t>
      </w:r>
    </w:p>
    <w:p w14:paraId="6D3FCB72" w14:textId="39364621" w:rsidR="00F22827" w:rsidRDefault="00F22827">
      <w:r>
        <w:br w:type="page"/>
      </w:r>
    </w:p>
    <w:p w14:paraId="3C76D926" w14:textId="03180219" w:rsidR="002E77BD" w:rsidRPr="000862F1" w:rsidRDefault="002E77BD" w:rsidP="0069038E">
      <w:pPr>
        <w:pStyle w:val="Heading2"/>
        <w:rPr>
          <w:rStyle w:val="Strong"/>
          <w:bCs w:val="0"/>
        </w:rPr>
      </w:pPr>
      <w:r w:rsidRPr="000862F1">
        <w:rPr>
          <w:rStyle w:val="Strong"/>
          <w:b/>
          <w:bCs w:val="0"/>
        </w:rPr>
        <w:t>Appendix C</w:t>
      </w:r>
      <w:r w:rsidR="000862F1" w:rsidRPr="000862F1">
        <w:rPr>
          <w:rStyle w:val="Strong"/>
          <w:b/>
          <w:bCs w:val="0"/>
        </w:rPr>
        <w:t>: Legislative Authority</w:t>
      </w:r>
    </w:p>
    <w:p w14:paraId="50E101EA" w14:textId="1DACDCFF" w:rsidR="002E77BD" w:rsidRPr="00BF1DB0" w:rsidRDefault="00A829B1" w:rsidP="0069038E">
      <w:pPr>
        <w:pStyle w:val="Heading3"/>
      </w:pPr>
      <w:r>
        <w:t>2022-23 General Appropriations Act, Senate B</w:t>
      </w:r>
      <w:r w:rsidR="002E77BD" w:rsidRPr="00BF1DB0">
        <w:t xml:space="preserve">ill 1, 87th Legislature, Regular Session, 2021 (Article II, </w:t>
      </w:r>
      <w:r w:rsidR="002A38DC" w:rsidRPr="00BF1DB0">
        <w:t>HHSC,</w:t>
      </w:r>
      <w:r w:rsidR="002E77BD" w:rsidRPr="00BF1DB0">
        <w:t xml:space="preserve"> Rider 139</w:t>
      </w:r>
      <w:r w:rsidR="00BF1DB0" w:rsidRPr="00BF1DB0">
        <w:t>)</w:t>
      </w:r>
    </w:p>
    <w:p w14:paraId="2A7912EA" w14:textId="3AFF0D4A" w:rsidR="00F0415C" w:rsidRDefault="002E77BD" w:rsidP="00C6652F">
      <w:pPr>
        <w:pStyle w:val="BodyTextafterheading"/>
      </w:pPr>
      <w:r w:rsidRPr="0069038E">
        <w:rPr>
          <w:b/>
          <w:bCs/>
        </w:rPr>
        <w:t>Efficiencies at Local Mental Health Authorities and Intellectual Disability Authorities.</w:t>
      </w:r>
      <w:r>
        <w:t xml:space="preserve"> </w:t>
      </w:r>
      <w:r w:rsidR="00626A22" w:rsidRPr="00F0415C">
        <w:t xml:space="preserve">HHSC shall ensure that </w:t>
      </w:r>
      <w:r w:rsidR="005E6F74">
        <w:t>LMHAs</w:t>
      </w:r>
      <w:r w:rsidR="00F82544">
        <w:t xml:space="preserve">, </w:t>
      </w:r>
      <w:r w:rsidR="005E6F74">
        <w:t>LBHAs</w:t>
      </w:r>
      <w:r w:rsidR="0017226E">
        <w:t xml:space="preserve"> </w:t>
      </w:r>
      <w:r w:rsidR="00626A22" w:rsidRPr="00F0415C">
        <w:t xml:space="preserve">and local intellectual disability authorities that receive allocations from the funds appropriated above to HHSC shall maximize the dollars available to provide services by minimizing overhead and administrative costs and achieving purchasing efficiencies. The Legislature also intends that each state agency which </w:t>
      </w:r>
      <w:proofErr w:type="gramStart"/>
      <w:r w:rsidR="00626A22" w:rsidRPr="00F0415C">
        <w:t>enters into</w:t>
      </w:r>
      <w:proofErr w:type="gramEnd"/>
      <w:r w:rsidR="00626A22" w:rsidRPr="00F0415C">
        <w:t xml:space="preserve"> a contract with or makes a grant to local authorities does so in a manner that promotes the maximization of </w:t>
      </w:r>
      <w:r w:rsidR="0017226E" w:rsidRPr="00F0415C">
        <w:t>third-party</w:t>
      </w:r>
      <w:r w:rsidR="00626A22" w:rsidRPr="00F0415C">
        <w:t xml:space="preserve"> billing opportunities, including to Medicare and Medicaid. </w:t>
      </w:r>
    </w:p>
    <w:p w14:paraId="31B2F1E4" w14:textId="1336BE38" w:rsidR="00C6652F" w:rsidRPr="00C6652F" w:rsidRDefault="00626A22" w:rsidP="00C6652F">
      <w:pPr>
        <w:pStyle w:val="BodyTextafterheading"/>
      </w:pPr>
      <w:r w:rsidRPr="00F0415C">
        <w:t>Funds appropriated above to HHSC in Strategies I.2.1, Long-Term Care Intake and Access, and F.1.3, Non-Medicaid IDD Community Services, may not be used to supplement the rate-based payments incurred by local intellectual disability authorities to provide waiver or ICF/IID</w:t>
      </w:r>
      <w:r w:rsidR="00F6703C">
        <w:rPr>
          <w:rStyle w:val="FootnoteReference"/>
        </w:rPr>
        <w:footnoteReference w:id="2"/>
      </w:r>
      <w:r w:rsidRPr="00F0415C">
        <w:t xml:space="preserve"> services.</w:t>
      </w:r>
      <w:r w:rsidR="002E77BD">
        <w:t xml:space="preserve"> </w:t>
      </w:r>
    </w:p>
    <w:sectPr w:rsidR="00C6652F" w:rsidRPr="00C6652F" w:rsidSect="002D72E1">
      <w:footerReference w:type="default" r:id="rId17"/>
      <w:footerReference w:type="first" r:id="rId18"/>
      <w:footnotePr>
        <w:numFmt w:val="lowerLetter"/>
      </w:footnotePr>
      <w:endnotePr>
        <w:numFmt w:val="lowerLetter"/>
        <w:numRestart w:val="eachSect"/>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56072" w14:textId="77777777" w:rsidR="008D13F7" w:rsidRDefault="008D13F7" w:rsidP="000E59DE">
      <w:r>
        <w:separator/>
      </w:r>
    </w:p>
    <w:p w14:paraId="5421E103" w14:textId="77777777" w:rsidR="008D13F7" w:rsidRDefault="008D13F7" w:rsidP="000E59DE"/>
  </w:endnote>
  <w:endnote w:type="continuationSeparator" w:id="0">
    <w:p w14:paraId="5A3A332A" w14:textId="77777777" w:rsidR="008D13F7" w:rsidRDefault="008D13F7" w:rsidP="000E59DE">
      <w:r>
        <w:continuationSeparator/>
      </w:r>
    </w:p>
    <w:p w14:paraId="05C9BAF0" w14:textId="77777777" w:rsidR="008D13F7" w:rsidRDefault="008D13F7" w:rsidP="000E59DE"/>
  </w:endnote>
  <w:endnote w:type="continuationNotice" w:id="1">
    <w:p w14:paraId="735807DA" w14:textId="77777777" w:rsidR="008D13F7" w:rsidRPr="00BE23B2" w:rsidRDefault="008D13F7" w:rsidP="000E59DE"/>
    <w:p w14:paraId="1332283D" w14:textId="77777777" w:rsidR="008D13F7" w:rsidRDefault="008D13F7" w:rsidP="000E5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28C55" w14:textId="77777777" w:rsidR="005F2FCD" w:rsidRPr="00DC3247" w:rsidRDefault="005F2FCD" w:rsidP="00101F54">
    <w:pPr>
      <w:spacing w:before="240"/>
      <w:jc w:val="center"/>
    </w:pPr>
    <w:r w:rsidRPr="00DC3247">
      <w:fldChar w:fldCharType="begin"/>
    </w:r>
    <w:r w:rsidRPr="00DC3247">
      <w:instrText xml:space="preserve"> PAGE   \* MERGEFORMAT </w:instrText>
    </w:r>
    <w:r w:rsidRPr="00DC3247">
      <w:fldChar w:fldCharType="separate"/>
    </w:r>
    <w:r>
      <w:t>1</w:t>
    </w:r>
    <w:r w:rsidRPr="00DC3247">
      <w:rPr>
        <w:noProof/>
      </w:rPr>
      <w:fldChar w:fldCharType="end"/>
    </w:r>
  </w:p>
  <w:p w14:paraId="726E6CA5" w14:textId="0DF5CB5B" w:rsidR="00BD08B2" w:rsidRDefault="005F2FCD" w:rsidP="00AB0105">
    <w:pPr>
      <w:pBdr>
        <w:top w:val="single" w:sz="4" w:space="4" w:color="auto"/>
      </w:pBdr>
      <w:tabs>
        <w:tab w:val="center" w:pos="4680"/>
        <w:tab w:val="right" w:pos="9360"/>
      </w:tabs>
      <w:jc w:val="center"/>
    </w:pPr>
    <w:r w:rsidRPr="00DC3247">
      <w:rPr>
        <w:sz w:val="20"/>
      </w:rPr>
      <w:t xml:space="preserve">Texas Health and Human Services ● </w:t>
    </w:r>
    <w:r w:rsidRPr="00DC3247">
      <w:rPr>
        <w:b/>
        <w:sz w:val="20"/>
      </w:rPr>
      <w:t>hhs.texas.gov</w:t>
    </w:r>
    <w:r>
      <w:rPr>
        <w:b/>
        <w:sz w:val="20"/>
      </w:rPr>
      <w:t xml:space="preserve"> </w:t>
    </w:r>
    <w:r w:rsidRPr="00DC3247">
      <w:rPr>
        <w:sz w:val="20"/>
      </w:rPr>
      <w:t>●</w:t>
    </w:r>
    <w:r>
      <w:rPr>
        <w:sz w:val="20"/>
      </w:rPr>
      <w:t xml:space="preserve"> </w:t>
    </w:r>
    <w:r w:rsidRPr="0096447D">
      <w:rPr>
        <w:sz w:val="20"/>
      </w:rPr>
      <w:t xml:space="preserve">Revised: </w:t>
    </w:r>
    <w:r w:rsidR="002E4D45">
      <w:rPr>
        <w:sz w:val="20"/>
      </w:rPr>
      <w:t>09</w:t>
    </w:r>
    <w:r w:rsidR="00EF4F72">
      <w:rPr>
        <w:sz w:val="20"/>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F647" w14:textId="77777777" w:rsidR="00101F54" w:rsidRPr="00DC3247" w:rsidRDefault="00101F54" w:rsidP="00101F54">
    <w:pPr>
      <w:spacing w:before="240"/>
      <w:jc w:val="center"/>
    </w:pPr>
    <w:r w:rsidRPr="00DC3247">
      <w:fldChar w:fldCharType="begin"/>
    </w:r>
    <w:r w:rsidRPr="00DC3247">
      <w:instrText xml:space="preserve"> PAGE   \* MERGEFORMAT </w:instrText>
    </w:r>
    <w:r w:rsidRPr="00DC3247">
      <w:fldChar w:fldCharType="separate"/>
    </w:r>
    <w:r>
      <w:t>1</w:t>
    </w:r>
    <w:r w:rsidRPr="00DC3247">
      <w:rPr>
        <w:noProof/>
      </w:rPr>
      <w:fldChar w:fldCharType="end"/>
    </w:r>
  </w:p>
  <w:p w14:paraId="7E7AB8A3" w14:textId="77777777" w:rsidR="00101F54" w:rsidRPr="0096447D" w:rsidRDefault="00101F54" w:rsidP="00101F54">
    <w:pPr>
      <w:pBdr>
        <w:top w:val="single" w:sz="4" w:space="4" w:color="auto"/>
      </w:pBdr>
      <w:tabs>
        <w:tab w:val="center" w:pos="4680"/>
        <w:tab w:val="right" w:pos="9360"/>
      </w:tabs>
      <w:jc w:val="center"/>
    </w:pPr>
    <w:r w:rsidRPr="00DC3247">
      <w:rPr>
        <w:sz w:val="20"/>
      </w:rPr>
      <w:t xml:space="preserve">Texas Health and Human Services ● </w:t>
    </w:r>
    <w:r w:rsidRPr="00DC3247">
      <w:rPr>
        <w:b/>
        <w:sz w:val="20"/>
      </w:rPr>
      <w:t>hhs.texas.gov</w:t>
    </w:r>
    <w:r w:rsidR="0096447D">
      <w:rPr>
        <w:b/>
        <w:sz w:val="20"/>
      </w:rPr>
      <w:t xml:space="preserve"> </w:t>
    </w:r>
    <w:r w:rsidR="0096447D" w:rsidRPr="00DC3247">
      <w:rPr>
        <w:sz w:val="20"/>
      </w:rPr>
      <w:t>●</w:t>
    </w:r>
    <w:r w:rsidR="0096447D">
      <w:rPr>
        <w:sz w:val="20"/>
      </w:rPr>
      <w:t xml:space="preserve"> </w:t>
    </w:r>
    <w:r w:rsidR="0096447D" w:rsidRPr="0096447D">
      <w:rPr>
        <w:sz w:val="20"/>
      </w:rPr>
      <w:t>Revised: XX/XXXX</w:t>
    </w:r>
  </w:p>
  <w:p w14:paraId="450A43EB" w14:textId="77777777" w:rsidR="00BD08B2" w:rsidRDefault="00BD08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30908" w14:textId="77777777" w:rsidR="008D13F7" w:rsidRDefault="008D13F7" w:rsidP="000E59DE">
      <w:r>
        <w:separator/>
      </w:r>
    </w:p>
  </w:footnote>
  <w:footnote w:type="continuationSeparator" w:id="0">
    <w:p w14:paraId="61C8BEE8" w14:textId="77777777" w:rsidR="008D13F7" w:rsidRDefault="008D13F7" w:rsidP="000E59DE">
      <w:r>
        <w:continuationSeparator/>
      </w:r>
    </w:p>
  </w:footnote>
  <w:footnote w:type="continuationNotice" w:id="1">
    <w:p w14:paraId="4B4778D4" w14:textId="77777777" w:rsidR="008D13F7" w:rsidRPr="00BE23B2" w:rsidRDefault="008D13F7" w:rsidP="000E59DE"/>
    <w:p w14:paraId="0FF3350F" w14:textId="77777777" w:rsidR="008D13F7" w:rsidRDefault="008D13F7" w:rsidP="000E59DE"/>
  </w:footnote>
  <w:footnote w:id="2">
    <w:p w14:paraId="5B34D0E1" w14:textId="3885E0AA" w:rsidR="00F6703C" w:rsidRDefault="00F6703C">
      <w:pPr>
        <w:pStyle w:val="FootnoteText"/>
      </w:pPr>
      <w:r>
        <w:rPr>
          <w:rStyle w:val="FootnoteReference"/>
        </w:rPr>
        <w:footnoteRef/>
      </w:r>
      <w:r>
        <w:t xml:space="preserve"> ICF/IID - </w:t>
      </w:r>
      <w:r w:rsidR="00F82544" w:rsidRPr="00F82544">
        <w:t>Intermediate Care Facilities for Individuals with an Intellectual Disability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377C"/>
    <w:multiLevelType w:val="multilevel"/>
    <w:tmpl w:val="2618F04C"/>
    <w:numStyleLink w:val="HHSBullets"/>
  </w:abstractNum>
  <w:abstractNum w:abstractNumId="1" w15:restartNumberingAfterBreak="0">
    <w:nsid w:val="048F13F8"/>
    <w:multiLevelType w:val="hybridMultilevel"/>
    <w:tmpl w:val="7BD2BA4A"/>
    <w:lvl w:ilvl="0" w:tplc="DF2639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C209E"/>
    <w:multiLevelType w:val="hybridMultilevel"/>
    <w:tmpl w:val="29C6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76E47"/>
    <w:multiLevelType w:val="hybridMultilevel"/>
    <w:tmpl w:val="07DE4E90"/>
    <w:lvl w:ilvl="0" w:tplc="DF26392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8037F6"/>
    <w:multiLevelType w:val="hybridMultilevel"/>
    <w:tmpl w:val="0D585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BC6944"/>
    <w:multiLevelType w:val="hybridMultilevel"/>
    <w:tmpl w:val="514ADCCE"/>
    <w:lvl w:ilvl="0" w:tplc="F53A4D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B3914"/>
    <w:multiLevelType w:val="hybridMultilevel"/>
    <w:tmpl w:val="DC48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200E0"/>
    <w:multiLevelType w:val="multilevel"/>
    <w:tmpl w:val="243C9078"/>
    <w:styleLink w:val="HHSNumbering"/>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8" w15:restartNumberingAfterBreak="0">
    <w:nsid w:val="2079674E"/>
    <w:multiLevelType w:val="hybridMultilevel"/>
    <w:tmpl w:val="EC9807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19806FA"/>
    <w:multiLevelType w:val="hybridMultilevel"/>
    <w:tmpl w:val="B6266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82E10"/>
    <w:multiLevelType w:val="multilevel"/>
    <w:tmpl w:val="17103B86"/>
    <w:styleLink w:val="HHSHeadingNumbering"/>
    <w:lvl w:ilvl="0">
      <w:start w:val="1"/>
      <w:numFmt w:val="decimal"/>
      <w:lvlText w:val="%1."/>
      <w:lvlJc w:val="left"/>
      <w:pPr>
        <w:ind w:left="360" w:hanging="360"/>
      </w:pPr>
      <w:rPr>
        <w:rFonts w:asciiTheme="majorHAnsi" w:hAnsiTheme="majorHAnsi" w:hint="default"/>
      </w:rPr>
    </w:lvl>
    <w:lvl w:ilvl="1">
      <w:start w:val="1"/>
      <w:numFmt w:val="decimal"/>
      <w:suff w:val="space"/>
      <w:lvlText w:val="%2.%1"/>
      <w:lvlJc w:val="left"/>
      <w:pPr>
        <w:ind w:left="360" w:hanging="360"/>
      </w:pPr>
      <w:rPr>
        <w:rFonts w:asciiTheme="majorHAnsi" w:hAnsiTheme="majorHAnsi" w:hint="default"/>
      </w:rPr>
    </w:lvl>
    <w:lvl w:ilvl="2">
      <w:start w:val="1"/>
      <w:numFmt w:val="decimal"/>
      <w:suff w:val="space"/>
      <w:lvlText w:val="%1.%2.%3"/>
      <w:lvlJc w:val="left"/>
      <w:pPr>
        <w:ind w:left="360" w:hanging="360"/>
      </w:pPr>
      <w:rPr>
        <w:rFonts w:asciiTheme="majorHAnsi" w:hAnsiTheme="majorHAnsi" w:hint="default"/>
      </w:rPr>
    </w:lvl>
    <w:lvl w:ilvl="3">
      <w:start w:val="1"/>
      <w:numFmt w:val="decimal"/>
      <w:suff w:val="space"/>
      <w:lvlText w:val="%1.%2.%3.%4."/>
      <w:lvlJc w:val="left"/>
      <w:pPr>
        <w:ind w:left="360" w:hanging="360"/>
      </w:pPr>
      <w:rPr>
        <w:rFonts w:asciiTheme="minorHAnsi" w:hAnsiTheme="minorHAnsi" w:hint="default"/>
      </w:rPr>
    </w:lvl>
    <w:lvl w:ilvl="4">
      <w:start w:val="1"/>
      <w:numFmt w:val="decimal"/>
      <w:suff w:val="space"/>
      <w:lvlText w:val="%1.%2.%3.%4.%5."/>
      <w:lvlJc w:val="left"/>
      <w:pPr>
        <w:ind w:left="360" w:hanging="360"/>
      </w:pPr>
      <w:rPr>
        <w:rFonts w:asciiTheme="minorHAnsi" w:hAnsiTheme="minorHAnsi" w:hint="default"/>
      </w:rPr>
    </w:lvl>
    <w:lvl w:ilvl="5">
      <w:start w:val="1"/>
      <w:numFmt w:val="decimal"/>
      <w:suff w:val="space"/>
      <w:lvlText w:val="%1.%2.%3.%4.%5.%6."/>
      <w:lvlJc w:val="left"/>
      <w:pPr>
        <w:ind w:left="360" w:hanging="360"/>
      </w:pPr>
      <w:rPr>
        <w:rFonts w:asciiTheme="minorHAnsi" w:hAnsiTheme="minorHAnsi" w:hint="default"/>
      </w:rPr>
    </w:lvl>
    <w:lvl w:ilvl="6">
      <w:start w:val="1"/>
      <w:numFmt w:val="none"/>
      <w:suff w:val="nothing"/>
      <w:lvlText w:val="%7"/>
      <w:lvlJc w:val="left"/>
      <w:pPr>
        <w:ind w:left="360" w:hanging="360"/>
      </w:pPr>
      <w:rPr>
        <w:rFonts w:hint="default"/>
      </w:rPr>
    </w:lvl>
    <w:lvl w:ilvl="7">
      <w:start w:val="1"/>
      <w:numFmt w:val="none"/>
      <w:suff w:val="nothing"/>
      <w:lvlText w:val="%8"/>
      <w:lvlJc w:val="left"/>
      <w:pPr>
        <w:ind w:left="360" w:hanging="360"/>
      </w:pPr>
      <w:rPr>
        <w:rFonts w:hint="default"/>
      </w:rPr>
    </w:lvl>
    <w:lvl w:ilvl="8">
      <w:start w:val="1"/>
      <w:numFmt w:val="none"/>
      <w:suff w:val="nothing"/>
      <w:lvlText w:val="%9"/>
      <w:lvlJc w:val="left"/>
      <w:pPr>
        <w:ind w:left="360" w:hanging="360"/>
      </w:pPr>
      <w:rPr>
        <w:rFonts w:hint="default"/>
      </w:rPr>
    </w:lvl>
  </w:abstractNum>
  <w:abstractNum w:abstractNumId="11" w15:restartNumberingAfterBreak="0">
    <w:nsid w:val="339F0BC1"/>
    <w:multiLevelType w:val="hybridMultilevel"/>
    <w:tmpl w:val="5842678A"/>
    <w:lvl w:ilvl="0" w:tplc="DF26392E">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6BB5DE0"/>
    <w:multiLevelType w:val="hybridMultilevel"/>
    <w:tmpl w:val="56543C6A"/>
    <w:lvl w:ilvl="0" w:tplc="0409001B">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6C2344"/>
    <w:multiLevelType w:val="hybridMultilevel"/>
    <w:tmpl w:val="5AA02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844A0"/>
    <w:multiLevelType w:val="hybridMultilevel"/>
    <w:tmpl w:val="C8261258"/>
    <w:lvl w:ilvl="0" w:tplc="9BF20B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1326F35"/>
    <w:multiLevelType w:val="multilevel"/>
    <w:tmpl w:val="D4C65E62"/>
    <w:styleLink w:val="Appendixes"/>
    <w:lvl w:ilvl="0">
      <w:start w:val="1"/>
      <w:numFmt w:val="upperLetter"/>
      <w:suff w:val="space"/>
      <w:lvlText w:val="Appendix %1."/>
      <w:lvlJc w:val="left"/>
      <w:pPr>
        <w:ind w:left="0" w:firstLine="0"/>
      </w:pPr>
      <w:rPr>
        <w:rFonts w:asciiTheme="majorHAnsi" w:hAnsiTheme="majorHAnsi" w:hint="default"/>
        <w:b/>
        <w:sz w:val="40"/>
      </w:rPr>
    </w:lvl>
    <w:lvl w:ilvl="1">
      <w:start w:val="1"/>
      <w:numFmt w:val="none"/>
      <w:suff w:val="nothing"/>
      <w:lvlText w:val="%2"/>
      <w:lvlJc w:val="left"/>
      <w:pPr>
        <w:ind w:left="0" w:firstLine="0"/>
      </w:pPr>
      <w:rPr>
        <w:rFonts w:hint="default"/>
      </w:rPr>
    </w:lvl>
    <w:lvl w:ilvl="2">
      <w:start w:val="1"/>
      <w:numFmt w:val="none"/>
      <w:suff w:val="nothing"/>
      <w:lvlText w:val="%3"/>
      <w:lvlJc w:val="righ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righ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right"/>
      <w:pPr>
        <w:ind w:left="0" w:firstLine="0"/>
      </w:pPr>
      <w:rPr>
        <w:rFonts w:hint="default"/>
      </w:rPr>
    </w:lvl>
  </w:abstractNum>
  <w:abstractNum w:abstractNumId="16" w15:restartNumberingAfterBreak="0">
    <w:nsid w:val="4AF3068D"/>
    <w:multiLevelType w:val="hybridMultilevel"/>
    <w:tmpl w:val="F7E82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984229"/>
    <w:multiLevelType w:val="hybridMultilevel"/>
    <w:tmpl w:val="B704A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2B51E2B"/>
    <w:multiLevelType w:val="hybridMultilevel"/>
    <w:tmpl w:val="F24259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F591737"/>
    <w:multiLevelType w:val="hybridMultilevel"/>
    <w:tmpl w:val="77DA5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3630A9"/>
    <w:multiLevelType w:val="hybridMultilevel"/>
    <w:tmpl w:val="18BE7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0A0D78"/>
    <w:multiLevelType w:val="multilevel"/>
    <w:tmpl w:val="2618F04C"/>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2" w15:restartNumberingAfterBreak="0">
    <w:nsid w:val="68F1267B"/>
    <w:multiLevelType w:val="hybridMultilevel"/>
    <w:tmpl w:val="15222D28"/>
    <w:lvl w:ilvl="0" w:tplc="59F6B0F8">
      <w:start w:val="1"/>
      <w:numFmt w:val="decimal"/>
      <w:lvlText w:val="(%1)"/>
      <w:lvlJc w:val="left"/>
      <w:pPr>
        <w:ind w:left="1080" w:hanging="720"/>
      </w:pPr>
      <w:rPr>
        <w:rFonts w:hint="default"/>
      </w:rPr>
    </w:lvl>
    <w:lvl w:ilvl="1" w:tplc="BA969456">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580FB2"/>
    <w:multiLevelType w:val="hybridMultilevel"/>
    <w:tmpl w:val="9454C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137996"/>
    <w:multiLevelType w:val="multilevel"/>
    <w:tmpl w:val="012A118C"/>
    <w:lvl w:ilvl="0">
      <w:start w:val="1"/>
      <w:numFmt w:val="decimal"/>
      <w:pStyle w:val="ListNumber"/>
      <w:lvlText w:val="%1."/>
      <w:lvlJc w:val="left"/>
      <w:pPr>
        <w:ind w:left="720" w:hanging="360"/>
      </w:pPr>
      <w:rPr>
        <w:rFonts w:asciiTheme="minorHAnsi" w:hAnsiTheme="minorHAnsi" w:hint="default"/>
      </w:rPr>
    </w:lvl>
    <w:lvl w:ilvl="1">
      <w:start w:val="1"/>
      <w:numFmt w:val="upperLetter"/>
      <w:lvlText w:val="%2."/>
      <w:lvlJc w:val="left"/>
      <w:pPr>
        <w:ind w:left="1080" w:hanging="360"/>
      </w:pPr>
      <w:rPr>
        <w:rFonts w:asciiTheme="minorHAnsi" w:hAnsiTheme="minorHAnsi" w:hint="default"/>
      </w:rPr>
    </w:lvl>
    <w:lvl w:ilvl="2">
      <w:start w:val="1"/>
      <w:numFmt w:val="lowerLetter"/>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upperLetter"/>
      <w:suff w:val="space"/>
      <w:lvlText w:val="(%5)"/>
      <w:lvlJc w:val="left"/>
      <w:pPr>
        <w:ind w:left="2160" w:hanging="360"/>
      </w:pPr>
      <w:rPr>
        <w:rFonts w:asciiTheme="minorHAnsi" w:hAnsiTheme="minorHAnsi" w:hint="default"/>
      </w:rPr>
    </w:lvl>
    <w:lvl w:ilvl="5">
      <w:start w:val="1"/>
      <w:numFmt w:val="lowerLetter"/>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5" w15:restartNumberingAfterBreak="0">
    <w:nsid w:val="769E4E14"/>
    <w:multiLevelType w:val="hybridMultilevel"/>
    <w:tmpl w:val="7D209596"/>
    <w:lvl w:ilvl="0" w:tplc="0409000F">
      <w:start w:val="1"/>
      <w:numFmt w:val="decimal"/>
      <w:lvlText w:val="%1."/>
      <w:lvlJc w:val="left"/>
      <w:pPr>
        <w:ind w:left="1080" w:hanging="720"/>
      </w:pPr>
      <w:rPr>
        <w:rFonts w:hint="default"/>
      </w:rPr>
    </w:lvl>
    <w:lvl w:ilvl="1" w:tplc="9BF20B0C">
      <w:start w:val="1"/>
      <w:numFmt w:val="lowerLetter"/>
      <w:lvlText w:val="%2)"/>
      <w:lvlJc w:val="left"/>
      <w:pPr>
        <w:ind w:left="1800" w:hanging="720"/>
      </w:pPr>
      <w:rPr>
        <w:rFonts w:hint="default"/>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3D12F6"/>
    <w:multiLevelType w:val="hybridMultilevel"/>
    <w:tmpl w:val="23C83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8983">
    <w:abstractNumId w:val="10"/>
  </w:num>
  <w:num w:numId="2" w16cid:durableId="1366326063">
    <w:abstractNumId w:val="21"/>
  </w:num>
  <w:num w:numId="3" w16cid:durableId="1501584722">
    <w:abstractNumId w:val="7"/>
  </w:num>
  <w:num w:numId="4" w16cid:durableId="716393513">
    <w:abstractNumId w:val="15"/>
  </w:num>
  <w:num w:numId="5" w16cid:durableId="872766333">
    <w:abstractNumId w:val="0"/>
  </w:num>
  <w:num w:numId="6" w16cid:durableId="1389114719">
    <w:abstractNumId w:val="24"/>
  </w:num>
  <w:num w:numId="7" w16cid:durableId="1916431161">
    <w:abstractNumId w:val="13"/>
  </w:num>
  <w:num w:numId="8" w16cid:durableId="1467089556">
    <w:abstractNumId w:val="9"/>
  </w:num>
  <w:num w:numId="9" w16cid:durableId="49421459">
    <w:abstractNumId w:val="19"/>
  </w:num>
  <w:num w:numId="10" w16cid:durableId="404642238">
    <w:abstractNumId w:val="2"/>
  </w:num>
  <w:num w:numId="11" w16cid:durableId="1689065330">
    <w:abstractNumId w:val="6"/>
  </w:num>
  <w:num w:numId="12" w16cid:durableId="1559589495">
    <w:abstractNumId w:val="26"/>
  </w:num>
  <w:num w:numId="13" w16cid:durableId="2045671058">
    <w:abstractNumId w:val="8"/>
  </w:num>
  <w:num w:numId="14" w16cid:durableId="512498008">
    <w:abstractNumId w:val="23"/>
  </w:num>
  <w:num w:numId="15" w16cid:durableId="755438935">
    <w:abstractNumId w:val="20"/>
  </w:num>
  <w:num w:numId="16" w16cid:durableId="1105417370">
    <w:abstractNumId w:val="25"/>
  </w:num>
  <w:num w:numId="17" w16cid:durableId="1862090986">
    <w:abstractNumId w:val="5"/>
  </w:num>
  <w:num w:numId="18" w16cid:durableId="983892337">
    <w:abstractNumId w:val="3"/>
  </w:num>
  <w:num w:numId="19" w16cid:durableId="144703828">
    <w:abstractNumId w:val="4"/>
  </w:num>
  <w:num w:numId="20" w16cid:durableId="1438671085">
    <w:abstractNumId w:val="22"/>
  </w:num>
  <w:num w:numId="21" w16cid:durableId="525484611">
    <w:abstractNumId w:val="12"/>
  </w:num>
  <w:num w:numId="22" w16cid:durableId="1802188257">
    <w:abstractNumId w:val="11"/>
  </w:num>
  <w:num w:numId="23" w16cid:durableId="2026470675">
    <w:abstractNumId w:val="1"/>
  </w:num>
  <w:num w:numId="24" w16cid:durableId="324624532">
    <w:abstractNumId w:val="16"/>
  </w:num>
  <w:num w:numId="25" w16cid:durableId="525338085">
    <w:abstractNumId w:val="14"/>
  </w:num>
  <w:num w:numId="26" w16cid:durableId="149904402">
    <w:abstractNumId w:val="18"/>
  </w:num>
  <w:num w:numId="27" w16cid:durableId="41394056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5404" w:allStyles="0" w:customStyles="0" w:latentStyles="1" w:stylesInUse="0" w:headingStyles="0"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numFmt w:val="lowerLetter"/>
    <w:footnote w:id="-1"/>
    <w:footnote w:id="0"/>
    <w:footnote w:id="1"/>
  </w:footnotePr>
  <w:endnotePr>
    <w:numFmt w:val="lowerLetter"/>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A8"/>
    <w:rsid w:val="00001339"/>
    <w:rsid w:val="00003611"/>
    <w:rsid w:val="0000543F"/>
    <w:rsid w:val="000062BC"/>
    <w:rsid w:val="00007426"/>
    <w:rsid w:val="000103D2"/>
    <w:rsid w:val="00010D65"/>
    <w:rsid w:val="00016FC6"/>
    <w:rsid w:val="00021D62"/>
    <w:rsid w:val="0002300D"/>
    <w:rsid w:val="00026B05"/>
    <w:rsid w:val="00035F74"/>
    <w:rsid w:val="00040E11"/>
    <w:rsid w:val="00050A4F"/>
    <w:rsid w:val="00052F3D"/>
    <w:rsid w:val="000548F5"/>
    <w:rsid w:val="000577F3"/>
    <w:rsid w:val="00063416"/>
    <w:rsid w:val="00063C2A"/>
    <w:rsid w:val="00063D03"/>
    <w:rsid w:val="00064D97"/>
    <w:rsid w:val="00067170"/>
    <w:rsid w:val="000674CE"/>
    <w:rsid w:val="00072030"/>
    <w:rsid w:val="00076361"/>
    <w:rsid w:val="000809F0"/>
    <w:rsid w:val="000862F1"/>
    <w:rsid w:val="000873C7"/>
    <w:rsid w:val="00094714"/>
    <w:rsid w:val="000967CA"/>
    <w:rsid w:val="000A0FE8"/>
    <w:rsid w:val="000A351D"/>
    <w:rsid w:val="000A5224"/>
    <w:rsid w:val="000B1F34"/>
    <w:rsid w:val="000B3071"/>
    <w:rsid w:val="000B3EA7"/>
    <w:rsid w:val="000C36D2"/>
    <w:rsid w:val="000C5FD5"/>
    <w:rsid w:val="000D2FC9"/>
    <w:rsid w:val="000D45FE"/>
    <w:rsid w:val="000D46AF"/>
    <w:rsid w:val="000D61EC"/>
    <w:rsid w:val="000E09DF"/>
    <w:rsid w:val="000E2404"/>
    <w:rsid w:val="000E3BEC"/>
    <w:rsid w:val="000E59DE"/>
    <w:rsid w:val="000E6757"/>
    <w:rsid w:val="000E7BEF"/>
    <w:rsid w:val="000F02DF"/>
    <w:rsid w:val="000F31B2"/>
    <w:rsid w:val="00101F54"/>
    <w:rsid w:val="00106034"/>
    <w:rsid w:val="00124226"/>
    <w:rsid w:val="0012458C"/>
    <w:rsid w:val="001261C3"/>
    <w:rsid w:val="00131B63"/>
    <w:rsid w:val="00137306"/>
    <w:rsid w:val="00140D94"/>
    <w:rsid w:val="00141F81"/>
    <w:rsid w:val="0014577F"/>
    <w:rsid w:val="00147A67"/>
    <w:rsid w:val="00147BCA"/>
    <w:rsid w:val="00150FA5"/>
    <w:rsid w:val="00155671"/>
    <w:rsid w:val="001607C2"/>
    <w:rsid w:val="00162344"/>
    <w:rsid w:val="00162419"/>
    <w:rsid w:val="001632AF"/>
    <w:rsid w:val="00167592"/>
    <w:rsid w:val="001706ED"/>
    <w:rsid w:val="0017226E"/>
    <w:rsid w:val="0018158C"/>
    <w:rsid w:val="00184A85"/>
    <w:rsid w:val="00187087"/>
    <w:rsid w:val="00187A0A"/>
    <w:rsid w:val="00194EFC"/>
    <w:rsid w:val="00195162"/>
    <w:rsid w:val="00195F32"/>
    <w:rsid w:val="00196C80"/>
    <w:rsid w:val="001A5B22"/>
    <w:rsid w:val="001A6214"/>
    <w:rsid w:val="001A75D9"/>
    <w:rsid w:val="001B4DEB"/>
    <w:rsid w:val="001B6264"/>
    <w:rsid w:val="001C2741"/>
    <w:rsid w:val="001C5FAC"/>
    <w:rsid w:val="001D1136"/>
    <w:rsid w:val="001D2E60"/>
    <w:rsid w:val="001D3E0C"/>
    <w:rsid w:val="001E766E"/>
    <w:rsid w:val="00200CCE"/>
    <w:rsid w:val="0020275A"/>
    <w:rsid w:val="00212C23"/>
    <w:rsid w:val="00214CA9"/>
    <w:rsid w:val="00216659"/>
    <w:rsid w:val="0022030F"/>
    <w:rsid w:val="00222BE1"/>
    <w:rsid w:val="002236D2"/>
    <w:rsid w:val="00226255"/>
    <w:rsid w:val="00233D7C"/>
    <w:rsid w:val="00240C16"/>
    <w:rsid w:val="0024161A"/>
    <w:rsid w:val="0024184C"/>
    <w:rsid w:val="0024423B"/>
    <w:rsid w:val="00246352"/>
    <w:rsid w:val="00250227"/>
    <w:rsid w:val="00250F08"/>
    <w:rsid w:val="002542B4"/>
    <w:rsid w:val="00274A9E"/>
    <w:rsid w:val="00275511"/>
    <w:rsid w:val="00276923"/>
    <w:rsid w:val="002816C4"/>
    <w:rsid w:val="00284262"/>
    <w:rsid w:val="00286D31"/>
    <w:rsid w:val="00292763"/>
    <w:rsid w:val="00297272"/>
    <w:rsid w:val="002A11CA"/>
    <w:rsid w:val="002A2090"/>
    <w:rsid w:val="002A38DC"/>
    <w:rsid w:val="002A5063"/>
    <w:rsid w:val="002A672A"/>
    <w:rsid w:val="002B1A80"/>
    <w:rsid w:val="002B3982"/>
    <w:rsid w:val="002B6788"/>
    <w:rsid w:val="002B7A06"/>
    <w:rsid w:val="002D1FD0"/>
    <w:rsid w:val="002D72E1"/>
    <w:rsid w:val="002E2979"/>
    <w:rsid w:val="002E4D45"/>
    <w:rsid w:val="002E6BED"/>
    <w:rsid w:val="002E77BD"/>
    <w:rsid w:val="002F0249"/>
    <w:rsid w:val="002F1503"/>
    <w:rsid w:val="002F379F"/>
    <w:rsid w:val="002F3BCD"/>
    <w:rsid w:val="00303BBD"/>
    <w:rsid w:val="00311B29"/>
    <w:rsid w:val="00324000"/>
    <w:rsid w:val="00327482"/>
    <w:rsid w:val="00333D56"/>
    <w:rsid w:val="003404E9"/>
    <w:rsid w:val="00341CFE"/>
    <w:rsid w:val="0034237D"/>
    <w:rsid w:val="00344354"/>
    <w:rsid w:val="00345BE3"/>
    <w:rsid w:val="00345E37"/>
    <w:rsid w:val="0034665D"/>
    <w:rsid w:val="00346B9E"/>
    <w:rsid w:val="003559E8"/>
    <w:rsid w:val="00357C8B"/>
    <w:rsid w:val="00363808"/>
    <w:rsid w:val="00363A66"/>
    <w:rsid w:val="003647A9"/>
    <w:rsid w:val="00366895"/>
    <w:rsid w:val="00371424"/>
    <w:rsid w:val="00371516"/>
    <w:rsid w:val="003768D1"/>
    <w:rsid w:val="00381FA4"/>
    <w:rsid w:val="003A7A69"/>
    <w:rsid w:val="003B0B9F"/>
    <w:rsid w:val="003C6D01"/>
    <w:rsid w:val="003C7B54"/>
    <w:rsid w:val="003D19E6"/>
    <w:rsid w:val="003D3B8E"/>
    <w:rsid w:val="003D57C7"/>
    <w:rsid w:val="003D5D0A"/>
    <w:rsid w:val="003D6575"/>
    <w:rsid w:val="003E0050"/>
    <w:rsid w:val="003E1998"/>
    <w:rsid w:val="003E37EC"/>
    <w:rsid w:val="003E41FF"/>
    <w:rsid w:val="003F23B9"/>
    <w:rsid w:val="003F47C0"/>
    <w:rsid w:val="004003B1"/>
    <w:rsid w:val="0040191F"/>
    <w:rsid w:val="004048AB"/>
    <w:rsid w:val="004053B3"/>
    <w:rsid w:val="0040651B"/>
    <w:rsid w:val="00411960"/>
    <w:rsid w:val="004157CA"/>
    <w:rsid w:val="004226B9"/>
    <w:rsid w:val="00425266"/>
    <w:rsid w:val="004365A5"/>
    <w:rsid w:val="0043784B"/>
    <w:rsid w:val="004379C5"/>
    <w:rsid w:val="0044042D"/>
    <w:rsid w:val="00444527"/>
    <w:rsid w:val="0044514E"/>
    <w:rsid w:val="00445998"/>
    <w:rsid w:val="00446B09"/>
    <w:rsid w:val="00446D4D"/>
    <w:rsid w:val="004476CF"/>
    <w:rsid w:val="0045240D"/>
    <w:rsid w:val="00454729"/>
    <w:rsid w:val="00463E92"/>
    <w:rsid w:val="00470EC4"/>
    <w:rsid w:val="00476A05"/>
    <w:rsid w:val="00476A13"/>
    <w:rsid w:val="00477E88"/>
    <w:rsid w:val="00484EF2"/>
    <w:rsid w:val="00485ACF"/>
    <w:rsid w:val="004868C4"/>
    <w:rsid w:val="00495F99"/>
    <w:rsid w:val="00496A72"/>
    <w:rsid w:val="00497A2E"/>
    <w:rsid w:val="004A3D90"/>
    <w:rsid w:val="004A5EE8"/>
    <w:rsid w:val="004B0519"/>
    <w:rsid w:val="004B2314"/>
    <w:rsid w:val="004B2F5D"/>
    <w:rsid w:val="004C051B"/>
    <w:rsid w:val="004C12F7"/>
    <w:rsid w:val="004C4488"/>
    <w:rsid w:val="004C6BC3"/>
    <w:rsid w:val="004C7ABA"/>
    <w:rsid w:val="004D0536"/>
    <w:rsid w:val="004D7F37"/>
    <w:rsid w:val="004E1885"/>
    <w:rsid w:val="004E6AD9"/>
    <w:rsid w:val="004E7101"/>
    <w:rsid w:val="004E72E4"/>
    <w:rsid w:val="004E7CA9"/>
    <w:rsid w:val="004F2A89"/>
    <w:rsid w:val="005013B2"/>
    <w:rsid w:val="00502770"/>
    <w:rsid w:val="00504FD0"/>
    <w:rsid w:val="00517D5E"/>
    <w:rsid w:val="00521CD8"/>
    <w:rsid w:val="00521CFF"/>
    <w:rsid w:val="00534CC0"/>
    <w:rsid w:val="00552AEC"/>
    <w:rsid w:val="00552CFB"/>
    <w:rsid w:val="0055550C"/>
    <w:rsid w:val="005574E1"/>
    <w:rsid w:val="00570AD5"/>
    <w:rsid w:val="005715B3"/>
    <w:rsid w:val="00575689"/>
    <w:rsid w:val="005766BE"/>
    <w:rsid w:val="00576B0E"/>
    <w:rsid w:val="00580D2B"/>
    <w:rsid w:val="00581C85"/>
    <w:rsid w:val="005835E1"/>
    <w:rsid w:val="005964F6"/>
    <w:rsid w:val="00597C6D"/>
    <w:rsid w:val="005A2D47"/>
    <w:rsid w:val="005A6BC4"/>
    <w:rsid w:val="005A7B40"/>
    <w:rsid w:val="005B75BA"/>
    <w:rsid w:val="005C1880"/>
    <w:rsid w:val="005C1FE3"/>
    <w:rsid w:val="005C2739"/>
    <w:rsid w:val="005C4C60"/>
    <w:rsid w:val="005C6879"/>
    <w:rsid w:val="005C7B8F"/>
    <w:rsid w:val="005D2437"/>
    <w:rsid w:val="005D6728"/>
    <w:rsid w:val="005D7531"/>
    <w:rsid w:val="005D7C97"/>
    <w:rsid w:val="005E1BE7"/>
    <w:rsid w:val="005E2106"/>
    <w:rsid w:val="005E210C"/>
    <w:rsid w:val="005E23B5"/>
    <w:rsid w:val="005E6203"/>
    <w:rsid w:val="005E6F74"/>
    <w:rsid w:val="005F18C3"/>
    <w:rsid w:val="005F2FCD"/>
    <w:rsid w:val="005F43A8"/>
    <w:rsid w:val="005F54F5"/>
    <w:rsid w:val="00600011"/>
    <w:rsid w:val="00607A52"/>
    <w:rsid w:val="00613EF4"/>
    <w:rsid w:val="00614323"/>
    <w:rsid w:val="0061762F"/>
    <w:rsid w:val="00617CDD"/>
    <w:rsid w:val="00620600"/>
    <w:rsid w:val="00626A22"/>
    <w:rsid w:val="0063406F"/>
    <w:rsid w:val="006343EC"/>
    <w:rsid w:val="00634DBB"/>
    <w:rsid w:val="00635C80"/>
    <w:rsid w:val="00636EB9"/>
    <w:rsid w:val="006438F3"/>
    <w:rsid w:val="00644412"/>
    <w:rsid w:val="00645F51"/>
    <w:rsid w:val="00646FB0"/>
    <w:rsid w:val="0065297C"/>
    <w:rsid w:val="00653215"/>
    <w:rsid w:val="00654085"/>
    <w:rsid w:val="00654295"/>
    <w:rsid w:val="00657F73"/>
    <w:rsid w:val="00660E58"/>
    <w:rsid w:val="00664507"/>
    <w:rsid w:val="00666716"/>
    <w:rsid w:val="00666970"/>
    <w:rsid w:val="006678BD"/>
    <w:rsid w:val="00675DEC"/>
    <w:rsid w:val="006817E3"/>
    <w:rsid w:val="0068235D"/>
    <w:rsid w:val="00683760"/>
    <w:rsid w:val="00683B9D"/>
    <w:rsid w:val="006853DE"/>
    <w:rsid w:val="00685F1D"/>
    <w:rsid w:val="00686460"/>
    <w:rsid w:val="0069038E"/>
    <w:rsid w:val="0069232E"/>
    <w:rsid w:val="00692774"/>
    <w:rsid w:val="00693C3C"/>
    <w:rsid w:val="00696CFF"/>
    <w:rsid w:val="006A0449"/>
    <w:rsid w:val="006A62F6"/>
    <w:rsid w:val="006B00B9"/>
    <w:rsid w:val="006B514F"/>
    <w:rsid w:val="006C4EFB"/>
    <w:rsid w:val="006D0D91"/>
    <w:rsid w:val="006E1457"/>
    <w:rsid w:val="006E2D2A"/>
    <w:rsid w:val="006F442D"/>
    <w:rsid w:val="00701B23"/>
    <w:rsid w:val="007071B0"/>
    <w:rsid w:val="007167DD"/>
    <w:rsid w:val="00720A88"/>
    <w:rsid w:val="00720FE4"/>
    <w:rsid w:val="00724434"/>
    <w:rsid w:val="00724CD7"/>
    <w:rsid w:val="00725FCA"/>
    <w:rsid w:val="007336E3"/>
    <w:rsid w:val="00741583"/>
    <w:rsid w:val="007419EF"/>
    <w:rsid w:val="00752A74"/>
    <w:rsid w:val="00754858"/>
    <w:rsid w:val="00762C86"/>
    <w:rsid w:val="00764A84"/>
    <w:rsid w:val="007723D6"/>
    <w:rsid w:val="00775875"/>
    <w:rsid w:val="0077619E"/>
    <w:rsid w:val="00776D4A"/>
    <w:rsid w:val="00782436"/>
    <w:rsid w:val="007948E6"/>
    <w:rsid w:val="007A0EDF"/>
    <w:rsid w:val="007A5387"/>
    <w:rsid w:val="007A61A8"/>
    <w:rsid w:val="007B0822"/>
    <w:rsid w:val="007B0FC3"/>
    <w:rsid w:val="007B13C7"/>
    <w:rsid w:val="007B7CA4"/>
    <w:rsid w:val="007C06CC"/>
    <w:rsid w:val="007D5310"/>
    <w:rsid w:val="007D7ACE"/>
    <w:rsid w:val="007E0E78"/>
    <w:rsid w:val="007E7AB6"/>
    <w:rsid w:val="007F14BF"/>
    <w:rsid w:val="00803D46"/>
    <w:rsid w:val="008060E4"/>
    <w:rsid w:val="00807998"/>
    <w:rsid w:val="00813388"/>
    <w:rsid w:val="00815179"/>
    <w:rsid w:val="008154B0"/>
    <w:rsid w:val="00823377"/>
    <w:rsid w:val="00825AFD"/>
    <w:rsid w:val="00827D6B"/>
    <w:rsid w:val="00832814"/>
    <w:rsid w:val="008356BD"/>
    <w:rsid w:val="008370AE"/>
    <w:rsid w:val="00841ABA"/>
    <w:rsid w:val="00845291"/>
    <w:rsid w:val="00851874"/>
    <w:rsid w:val="00852D2D"/>
    <w:rsid w:val="00863C3A"/>
    <w:rsid w:val="0087070E"/>
    <w:rsid w:val="008819C1"/>
    <w:rsid w:val="00895D36"/>
    <w:rsid w:val="008A2F35"/>
    <w:rsid w:val="008A4146"/>
    <w:rsid w:val="008A6F0A"/>
    <w:rsid w:val="008B04B0"/>
    <w:rsid w:val="008B2B28"/>
    <w:rsid w:val="008D00BD"/>
    <w:rsid w:val="008D13F7"/>
    <w:rsid w:val="008D2109"/>
    <w:rsid w:val="008D34F9"/>
    <w:rsid w:val="008E02EC"/>
    <w:rsid w:val="008E0E20"/>
    <w:rsid w:val="008E4837"/>
    <w:rsid w:val="008E5F06"/>
    <w:rsid w:val="008E6A3A"/>
    <w:rsid w:val="008F035A"/>
    <w:rsid w:val="008F72CC"/>
    <w:rsid w:val="00903B1D"/>
    <w:rsid w:val="00905276"/>
    <w:rsid w:val="009078C9"/>
    <w:rsid w:val="00911366"/>
    <w:rsid w:val="00911CD7"/>
    <w:rsid w:val="0091433D"/>
    <w:rsid w:val="00915845"/>
    <w:rsid w:val="00915C59"/>
    <w:rsid w:val="009272B8"/>
    <w:rsid w:val="009309B1"/>
    <w:rsid w:val="00935B96"/>
    <w:rsid w:val="00936462"/>
    <w:rsid w:val="00940B53"/>
    <w:rsid w:val="009444FF"/>
    <w:rsid w:val="0095140B"/>
    <w:rsid w:val="00955957"/>
    <w:rsid w:val="00955D22"/>
    <w:rsid w:val="0096447D"/>
    <w:rsid w:val="00966638"/>
    <w:rsid w:val="00967274"/>
    <w:rsid w:val="009676DC"/>
    <w:rsid w:val="009712BE"/>
    <w:rsid w:val="00972050"/>
    <w:rsid w:val="009738A2"/>
    <w:rsid w:val="00973974"/>
    <w:rsid w:val="009A05DC"/>
    <w:rsid w:val="009A32FC"/>
    <w:rsid w:val="009B0A1A"/>
    <w:rsid w:val="009B1EB0"/>
    <w:rsid w:val="009B4A79"/>
    <w:rsid w:val="009B6B38"/>
    <w:rsid w:val="009B7993"/>
    <w:rsid w:val="009C71F0"/>
    <w:rsid w:val="009D77D8"/>
    <w:rsid w:val="009D7B4D"/>
    <w:rsid w:val="009E304A"/>
    <w:rsid w:val="009E338D"/>
    <w:rsid w:val="009E6DED"/>
    <w:rsid w:val="009F4852"/>
    <w:rsid w:val="00A004B7"/>
    <w:rsid w:val="00A01A7C"/>
    <w:rsid w:val="00A04070"/>
    <w:rsid w:val="00A05C85"/>
    <w:rsid w:val="00A10C89"/>
    <w:rsid w:val="00A1342A"/>
    <w:rsid w:val="00A26AC0"/>
    <w:rsid w:val="00A26F18"/>
    <w:rsid w:val="00A34372"/>
    <w:rsid w:val="00A36A56"/>
    <w:rsid w:val="00A41606"/>
    <w:rsid w:val="00A430EC"/>
    <w:rsid w:val="00A43AE4"/>
    <w:rsid w:val="00A500EB"/>
    <w:rsid w:val="00A51187"/>
    <w:rsid w:val="00A53142"/>
    <w:rsid w:val="00A57166"/>
    <w:rsid w:val="00A61916"/>
    <w:rsid w:val="00A63977"/>
    <w:rsid w:val="00A64FF6"/>
    <w:rsid w:val="00A65E36"/>
    <w:rsid w:val="00A73EF7"/>
    <w:rsid w:val="00A820FA"/>
    <w:rsid w:val="00A829B1"/>
    <w:rsid w:val="00A846CD"/>
    <w:rsid w:val="00A85B10"/>
    <w:rsid w:val="00AA084E"/>
    <w:rsid w:val="00AA3E9D"/>
    <w:rsid w:val="00AA6C61"/>
    <w:rsid w:val="00AA78B4"/>
    <w:rsid w:val="00AB0105"/>
    <w:rsid w:val="00AB5F66"/>
    <w:rsid w:val="00AC409C"/>
    <w:rsid w:val="00AC4CE6"/>
    <w:rsid w:val="00AC534F"/>
    <w:rsid w:val="00AC5586"/>
    <w:rsid w:val="00AD011E"/>
    <w:rsid w:val="00AD2BB7"/>
    <w:rsid w:val="00AD2FEF"/>
    <w:rsid w:val="00AD67B9"/>
    <w:rsid w:val="00AE4B76"/>
    <w:rsid w:val="00AE7291"/>
    <w:rsid w:val="00AF016D"/>
    <w:rsid w:val="00AF2500"/>
    <w:rsid w:val="00AF2D0E"/>
    <w:rsid w:val="00AF56CD"/>
    <w:rsid w:val="00B0545B"/>
    <w:rsid w:val="00B16DD2"/>
    <w:rsid w:val="00B2144C"/>
    <w:rsid w:val="00B21D84"/>
    <w:rsid w:val="00B2444D"/>
    <w:rsid w:val="00B26956"/>
    <w:rsid w:val="00B3227A"/>
    <w:rsid w:val="00B32CD1"/>
    <w:rsid w:val="00B42223"/>
    <w:rsid w:val="00B45EB7"/>
    <w:rsid w:val="00B46525"/>
    <w:rsid w:val="00B52478"/>
    <w:rsid w:val="00B55BD5"/>
    <w:rsid w:val="00B62D6F"/>
    <w:rsid w:val="00B63753"/>
    <w:rsid w:val="00B64FAD"/>
    <w:rsid w:val="00B72E2D"/>
    <w:rsid w:val="00B735E0"/>
    <w:rsid w:val="00B82468"/>
    <w:rsid w:val="00B869EA"/>
    <w:rsid w:val="00B87A46"/>
    <w:rsid w:val="00B95E56"/>
    <w:rsid w:val="00BA0C0D"/>
    <w:rsid w:val="00BA3755"/>
    <w:rsid w:val="00BA7E9C"/>
    <w:rsid w:val="00BB197B"/>
    <w:rsid w:val="00BB579E"/>
    <w:rsid w:val="00BB73E4"/>
    <w:rsid w:val="00BD08B2"/>
    <w:rsid w:val="00BD3BB9"/>
    <w:rsid w:val="00BD456B"/>
    <w:rsid w:val="00BD48FA"/>
    <w:rsid w:val="00BD616E"/>
    <w:rsid w:val="00BE23B2"/>
    <w:rsid w:val="00BE2B77"/>
    <w:rsid w:val="00BE3C9C"/>
    <w:rsid w:val="00BE638A"/>
    <w:rsid w:val="00BF1DB0"/>
    <w:rsid w:val="00BF601F"/>
    <w:rsid w:val="00BF711D"/>
    <w:rsid w:val="00C01AF6"/>
    <w:rsid w:val="00C04BC1"/>
    <w:rsid w:val="00C06165"/>
    <w:rsid w:val="00C06E76"/>
    <w:rsid w:val="00C079CD"/>
    <w:rsid w:val="00C13856"/>
    <w:rsid w:val="00C17453"/>
    <w:rsid w:val="00C22680"/>
    <w:rsid w:val="00C23CD6"/>
    <w:rsid w:val="00C24769"/>
    <w:rsid w:val="00C27580"/>
    <w:rsid w:val="00C476FA"/>
    <w:rsid w:val="00C5242B"/>
    <w:rsid w:val="00C55070"/>
    <w:rsid w:val="00C562FA"/>
    <w:rsid w:val="00C60789"/>
    <w:rsid w:val="00C6616D"/>
    <w:rsid w:val="00C6652F"/>
    <w:rsid w:val="00C8269F"/>
    <w:rsid w:val="00C8295F"/>
    <w:rsid w:val="00C85AE8"/>
    <w:rsid w:val="00C86AD3"/>
    <w:rsid w:val="00C968F8"/>
    <w:rsid w:val="00CA00A4"/>
    <w:rsid w:val="00CA1532"/>
    <w:rsid w:val="00CA55CF"/>
    <w:rsid w:val="00CA7F91"/>
    <w:rsid w:val="00CB08C9"/>
    <w:rsid w:val="00CC055A"/>
    <w:rsid w:val="00CC07E1"/>
    <w:rsid w:val="00CC0886"/>
    <w:rsid w:val="00CC0BDC"/>
    <w:rsid w:val="00CC5572"/>
    <w:rsid w:val="00CD308A"/>
    <w:rsid w:val="00CD344A"/>
    <w:rsid w:val="00CE5A79"/>
    <w:rsid w:val="00CE6D51"/>
    <w:rsid w:val="00CF0FBC"/>
    <w:rsid w:val="00CF6F6B"/>
    <w:rsid w:val="00D072AE"/>
    <w:rsid w:val="00D0760C"/>
    <w:rsid w:val="00D16536"/>
    <w:rsid w:val="00D21E16"/>
    <w:rsid w:val="00D35971"/>
    <w:rsid w:val="00D35F8D"/>
    <w:rsid w:val="00D37E78"/>
    <w:rsid w:val="00D53D09"/>
    <w:rsid w:val="00D55405"/>
    <w:rsid w:val="00D57BB5"/>
    <w:rsid w:val="00D60CEB"/>
    <w:rsid w:val="00D61983"/>
    <w:rsid w:val="00D7005B"/>
    <w:rsid w:val="00D778F1"/>
    <w:rsid w:val="00D86FBA"/>
    <w:rsid w:val="00D9281E"/>
    <w:rsid w:val="00D92CF7"/>
    <w:rsid w:val="00D93E92"/>
    <w:rsid w:val="00D97B9D"/>
    <w:rsid w:val="00DA0A59"/>
    <w:rsid w:val="00DA2675"/>
    <w:rsid w:val="00DA743E"/>
    <w:rsid w:val="00DA7574"/>
    <w:rsid w:val="00DA7F70"/>
    <w:rsid w:val="00DB0D37"/>
    <w:rsid w:val="00DB1903"/>
    <w:rsid w:val="00DB1DCF"/>
    <w:rsid w:val="00DB35DD"/>
    <w:rsid w:val="00DC0555"/>
    <w:rsid w:val="00DC2FC7"/>
    <w:rsid w:val="00DC3CC4"/>
    <w:rsid w:val="00DC4D89"/>
    <w:rsid w:val="00DC506B"/>
    <w:rsid w:val="00DC71ED"/>
    <w:rsid w:val="00DD1AA1"/>
    <w:rsid w:val="00DD79FB"/>
    <w:rsid w:val="00DE1A1F"/>
    <w:rsid w:val="00DE7077"/>
    <w:rsid w:val="00DE7E43"/>
    <w:rsid w:val="00E03808"/>
    <w:rsid w:val="00E13888"/>
    <w:rsid w:val="00E168FC"/>
    <w:rsid w:val="00E215B3"/>
    <w:rsid w:val="00E2636D"/>
    <w:rsid w:val="00E265B7"/>
    <w:rsid w:val="00E32C2F"/>
    <w:rsid w:val="00E34C90"/>
    <w:rsid w:val="00E40622"/>
    <w:rsid w:val="00E431B1"/>
    <w:rsid w:val="00E43269"/>
    <w:rsid w:val="00E448C0"/>
    <w:rsid w:val="00E44D4D"/>
    <w:rsid w:val="00E51DD5"/>
    <w:rsid w:val="00E60FF3"/>
    <w:rsid w:val="00E76A50"/>
    <w:rsid w:val="00E77096"/>
    <w:rsid w:val="00E803C2"/>
    <w:rsid w:val="00E8086A"/>
    <w:rsid w:val="00E83467"/>
    <w:rsid w:val="00E97994"/>
    <w:rsid w:val="00EA1AFB"/>
    <w:rsid w:val="00EA240A"/>
    <w:rsid w:val="00EA545E"/>
    <w:rsid w:val="00EA7452"/>
    <w:rsid w:val="00EB4D8F"/>
    <w:rsid w:val="00EB7BDE"/>
    <w:rsid w:val="00EC41D2"/>
    <w:rsid w:val="00ED0680"/>
    <w:rsid w:val="00ED1F1F"/>
    <w:rsid w:val="00EE016A"/>
    <w:rsid w:val="00EE074F"/>
    <w:rsid w:val="00EE12C3"/>
    <w:rsid w:val="00EE4A5E"/>
    <w:rsid w:val="00EE4F4A"/>
    <w:rsid w:val="00EE6AA0"/>
    <w:rsid w:val="00EE7D41"/>
    <w:rsid w:val="00EF0202"/>
    <w:rsid w:val="00EF2CFE"/>
    <w:rsid w:val="00EF4F72"/>
    <w:rsid w:val="00EF73F5"/>
    <w:rsid w:val="00F014F6"/>
    <w:rsid w:val="00F01599"/>
    <w:rsid w:val="00F0415C"/>
    <w:rsid w:val="00F21889"/>
    <w:rsid w:val="00F21EEC"/>
    <w:rsid w:val="00F22827"/>
    <w:rsid w:val="00F30535"/>
    <w:rsid w:val="00F31FE0"/>
    <w:rsid w:val="00F34ED5"/>
    <w:rsid w:val="00F411D2"/>
    <w:rsid w:val="00F420D8"/>
    <w:rsid w:val="00F4653C"/>
    <w:rsid w:val="00F509A0"/>
    <w:rsid w:val="00F5246C"/>
    <w:rsid w:val="00F54A70"/>
    <w:rsid w:val="00F55719"/>
    <w:rsid w:val="00F5710A"/>
    <w:rsid w:val="00F6486C"/>
    <w:rsid w:val="00F65E72"/>
    <w:rsid w:val="00F6703C"/>
    <w:rsid w:val="00F74B49"/>
    <w:rsid w:val="00F77E4E"/>
    <w:rsid w:val="00F82544"/>
    <w:rsid w:val="00F85D32"/>
    <w:rsid w:val="00F9445A"/>
    <w:rsid w:val="00F94732"/>
    <w:rsid w:val="00F94B47"/>
    <w:rsid w:val="00F976EC"/>
    <w:rsid w:val="00FA29AA"/>
    <w:rsid w:val="00FB2C37"/>
    <w:rsid w:val="00FB2E2D"/>
    <w:rsid w:val="00FC05F9"/>
    <w:rsid w:val="00FD079D"/>
    <w:rsid w:val="00FD3AD2"/>
    <w:rsid w:val="00FD7A50"/>
    <w:rsid w:val="00FE5F97"/>
    <w:rsid w:val="00FF3E95"/>
    <w:rsid w:val="00FF4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084E1"/>
  <w15:chartTrackingRefBased/>
  <w15:docId w15:val="{0B041A56-7E40-468B-BFC3-80BE8821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6" w:unhideWhenUsed="1" w:qFormat="1"/>
    <w:lsdException w:name="FollowedHyperlink" w:semiHidden="1" w:unhideWhenUsed="1"/>
    <w:lsdException w:name="Strong" w:uiPriority="3"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6"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unhideWhenUsed="1"/>
    <w:lsdException w:name="Bibliography" w:semiHidden="1" w:unhideWhenUsed="1"/>
    <w:lsdException w:name="TOC Heading" w:semiHidden="1" w:uiPriority="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semiHidden/>
    <w:rsid w:val="002B7A06"/>
    <w:rPr>
      <w:szCs w:val="20"/>
    </w:rPr>
  </w:style>
  <w:style w:type="paragraph" w:styleId="Heading1">
    <w:name w:val="heading 1"/>
    <w:next w:val="BodyTextafterheading"/>
    <w:link w:val="Heading1Char"/>
    <w:rsid w:val="00A430EC"/>
    <w:pPr>
      <w:keepNext/>
      <w:keepLines/>
      <w:spacing w:before="480" w:after="120" w:line="288" w:lineRule="auto"/>
      <w:jc w:val="center"/>
      <w:outlineLvl w:val="0"/>
    </w:pPr>
    <w:rPr>
      <w:rFonts w:asciiTheme="majorHAnsi" w:eastAsiaTheme="majorEastAsia" w:hAnsiTheme="majorHAnsi" w:cs="Arial"/>
      <w:b/>
      <w:color w:val="000000" w:themeColor="text2"/>
      <w:sz w:val="40"/>
      <w:szCs w:val="36"/>
    </w:rPr>
  </w:style>
  <w:style w:type="paragraph" w:styleId="Heading2">
    <w:name w:val="heading 2"/>
    <w:next w:val="BodyTextafterheading"/>
    <w:link w:val="Heading2Char"/>
    <w:qFormat/>
    <w:rsid w:val="002F0249"/>
    <w:pPr>
      <w:keepNext/>
      <w:keepLines/>
      <w:spacing w:before="240" w:after="120" w:line="288" w:lineRule="auto"/>
      <w:outlineLvl w:val="1"/>
    </w:pPr>
    <w:rPr>
      <w:rFonts w:asciiTheme="majorHAnsi" w:eastAsiaTheme="majorEastAsia" w:hAnsiTheme="majorHAnsi" w:cstheme="majorBidi"/>
      <w:b/>
      <w:color w:val="003087"/>
      <w:sz w:val="36"/>
      <w:szCs w:val="26"/>
    </w:rPr>
  </w:style>
  <w:style w:type="paragraph" w:styleId="Heading3">
    <w:name w:val="heading 3"/>
    <w:next w:val="BodyTextafterheading"/>
    <w:link w:val="Heading3Char"/>
    <w:qFormat/>
    <w:rsid w:val="00E43269"/>
    <w:pPr>
      <w:keepNext/>
      <w:keepLines/>
      <w:spacing w:before="240" w:after="120" w:line="288" w:lineRule="auto"/>
      <w:outlineLvl w:val="2"/>
    </w:pPr>
    <w:rPr>
      <w:rFonts w:asciiTheme="majorHAnsi" w:eastAsiaTheme="majorEastAsia" w:hAnsiTheme="majorHAnsi" w:cstheme="majorBidi"/>
      <w:b/>
      <w:color w:val="005CB9"/>
      <w:sz w:val="32"/>
      <w:szCs w:val="24"/>
    </w:rPr>
  </w:style>
  <w:style w:type="paragraph" w:styleId="Heading4">
    <w:name w:val="heading 4"/>
    <w:next w:val="BodyTextafterheading"/>
    <w:link w:val="Heading4Char"/>
    <w:qFormat/>
    <w:rsid w:val="00E43269"/>
    <w:pPr>
      <w:keepNext/>
      <w:keepLines/>
      <w:spacing w:before="240" w:after="120" w:line="288" w:lineRule="auto"/>
      <w:outlineLvl w:val="3"/>
    </w:pPr>
    <w:rPr>
      <w:rFonts w:asciiTheme="majorHAnsi" w:eastAsiaTheme="majorEastAsia" w:hAnsiTheme="majorHAnsi" w:cstheme="majorBidi"/>
      <w:b/>
      <w:iCs/>
      <w:color w:val="022167" w:themeColor="text1"/>
      <w:sz w:val="28"/>
      <w:szCs w:val="20"/>
    </w:rPr>
  </w:style>
  <w:style w:type="paragraph" w:styleId="Heading5">
    <w:name w:val="heading 5"/>
    <w:next w:val="BodyTextafterheading"/>
    <w:link w:val="Heading5Char"/>
    <w:rsid w:val="00E43269"/>
    <w:pPr>
      <w:keepNext/>
      <w:keepLines/>
      <w:spacing w:before="240" w:after="120" w:line="288" w:lineRule="auto"/>
      <w:outlineLvl w:val="4"/>
    </w:pPr>
    <w:rPr>
      <w:rFonts w:asciiTheme="majorHAnsi" w:eastAsiaTheme="majorEastAsia" w:hAnsiTheme="majorHAnsi" w:cstheme="majorBidi"/>
      <w:b/>
      <w:iCs/>
      <w:color w:val="005CB9"/>
      <w:sz w:val="26"/>
      <w:szCs w:val="20"/>
    </w:rPr>
  </w:style>
  <w:style w:type="paragraph" w:styleId="Heading6">
    <w:name w:val="heading 6"/>
    <w:next w:val="BodyTextafterheading"/>
    <w:link w:val="Heading6Char"/>
    <w:qFormat/>
    <w:rsid w:val="00E43269"/>
    <w:pPr>
      <w:keepNext/>
      <w:keepLines/>
      <w:spacing w:before="240" w:after="120" w:line="288" w:lineRule="auto"/>
      <w:outlineLvl w:val="5"/>
    </w:pPr>
    <w:rPr>
      <w:rFonts w:asciiTheme="majorHAnsi" w:eastAsiaTheme="majorEastAsia" w:hAnsiTheme="majorHAnsi" w:cstheme="majorBidi"/>
      <w:b/>
      <w:iCs/>
      <w:color w:val="022167"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uiPriority w:val="4"/>
    <w:qFormat/>
    <w:rsid w:val="00250F08"/>
    <w:rPr>
      <w:b/>
      <w:i/>
    </w:rPr>
  </w:style>
  <w:style w:type="paragraph" w:customStyle="1" w:styleId="Heading1forLists">
    <w:name w:val="Heading 1 for Lists"/>
    <w:basedOn w:val="TOCHeading"/>
    <w:next w:val="BodyTextafterheading"/>
    <w:link w:val="Heading1forListsChar"/>
    <w:uiPriority w:val="2"/>
    <w:qFormat/>
    <w:rsid w:val="00333D56"/>
  </w:style>
  <w:style w:type="character" w:customStyle="1" w:styleId="Heading1forListsChar">
    <w:name w:val="Heading 1 for Lists Char"/>
    <w:basedOn w:val="DefaultParagraphFont"/>
    <w:link w:val="Heading1forLists"/>
    <w:uiPriority w:val="2"/>
    <w:rsid w:val="00333D56"/>
    <w:rPr>
      <w:rFonts w:asciiTheme="majorHAnsi" w:eastAsia="Times New Roman" w:hAnsiTheme="majorHAnsi" w:cs="Times New Roman"/>
      <w:b/>
      <w:sz w:val="40"/>
      <w:szCs w:val="24"/>
    </w:rPr>
  </w:style>
  <w:style w:type="character" w:customStyle="1" w:styleId="Heading1Char">
    <w:name w:val="Heading 1 Char"/>
    <w:basedOn w:val="DefaultParagraphFont"/>
    <w:link w:val="Heading1"/>
    <w:rsid w:val="00A430EC"/>
    <w:rPr>
      <w:rFonts w:asciiTheme="majorHAnsi" w:eastAsiaTheme="majorEastAsia" w:hAnsiTheme="majorHAnsi" w:cs="Arial"/>
      <w:b/>
      <w:color w:val="000000" w:themeColor="text2"/>
      <w:sz w:val="40"/>
      <w:szCs w:val="36"/>
    </w:rPr>
  </w:style>
  <w:style w:type="paragraph" w:styleId="TOCHeading">
    <w:name w:val="TOC Heading"/>
    <w:next w:val="TOC1"/>
    <w:link w:val="TOCHeadingChar"/>
    <w:uiPriority w:val="1"/>
    <w:qFormat/>
    <w:rsid w:val="00333D56"/>
    <w:pPr>
      <w:spacing w:after="240" w:line="288" w:lineRule="auto"/>
      <w:jc w:val="center"/>
      <w:outlineLvl w:val="0"/>
    </w:pPr>
    <w:rPr>
      <w:rFonts w:asciiTheme="majorHAnsi" w:eastAsia="Times New Roman" w:hAnsiTheme="majorHAnsi" w:cs="Times New Roman"/>
      <w:b/>
      <w:sz w:val="40"/>
      <w:szCs w:val="24"/>
    </w:rPr>
  </w:style>
  <w:style w:type="paragraph" w:customStyle="1" w:styleId="TableContent">
    <w:name w:val="Table Content"/>
    <w:basedOn w:val="BodyText"/>
    <w:link w:val="TableContentChar"/>
    <w:uiPriority w:val="4"/>
    <w:rsid w:val="00067170"/>
    <w:pPr>
      <w:widowControl w:val="0"/>
      <w:spacing w:before="60" w:after="60" w:line="252" w:lineRule="auto"/>
      <w:ind w:left="72" w:right="72"/>
    </w:pPr>
    <w:rPr>
      <w:sz w:val="20"/>
    </w:rPr>
  </w:style>
  <w:style w:type="character" w:customStyle="1" w:styleId="TableContentChar">
    <w:name w:val="Table Content Char"/>
    <w:basedOn w:val="BodyTextChar"/>
    <w:link w:val="TableContent"/>
    <w:uiPriority w:val="4"/>
    <w:rsid w:val="00067170"/>
    <w:rPr>
      <w:sz w:val="20"/>
      <w:szCs w:val="20"/>
    </w:rPr>
  </w:style>
  <w:style w:type="paragraph" w:styleId="BodyText">
    <w:name w:val="Body Text"/>
    <w:link w:val="BodyTextChar"/>
    <w:uiPriority w:val="4"/>
    <w:qFormat/>
    <w:rsid w:val="00660E58"/>
    <w:pPr>
      <w:spacing w:before="240" w:after="240" w:line="288" w:lineRule="auto"/>
    </w:pPr>
    <w:rPr>
      <w:szCs w:val="20"/>
    </w:rPr>
  </w:style>
  <w:style w:type="character" w:customStyle="1" w:styleId="BodyTextChar">
    <w:name w:val="Body Text Char"/>
    <w:basedOn w:val="DefaultParagraphFont"/>
    <w:link w:val="BodyText"/>
    <w:uiPriority w:val="4"/>
    <w:rsid w:val="00660E58"/>
    <w:rPr>
      <w:szCs w:val="20"/>
    </w:rPr>
  </w:style>
  <w:style w:type="paragraph" w:customStyle="1" w:styleId="BodyTextafterheading">
    <w:name w:val="Body Text after heading"/>
    <w:basedOn w:val="BodyText"/>
    <w:next w:val="BodyText"/>
    <w:link w:val="BodyTextafterheadingChar"/>
    <w:uiPriority w:val="4"/>
    <w:qFormat/>
    <w:rsid w:val="00250F08"/>
    <w:pPr>
      <w:spacing w:before="120"/>
    </w:pPr>
  </w:style>
  <w:style w:type="character" w:customStyle="1" w:styleId="BodyTextafterheadingChar">
    <w:name w:val="Body Text after heading Char"/>
    <w:basedOn w:val="BodyTextChar"/>
    <w:link w:val="BodyTextafterheading"/>
    <w:uiPriority w:val="4"/>
    <w:rsid w:val="00250F08"/>
    <w:rPr>
      <w:szCs w:val="20"/>
    </w:rPr>
  </w:style>
  <w:style w:type="character" w:customStyle="1" w:styleId="Heading2Char">
    <w:name w:val="Heading 2 Char"/>
    <w:basedOn w:val="DefaultParagraphFont"/>
    <w:link w:val="Heading2"/>
    <w:rsid w:val="002F0249"/>
    <w:rPr>
      <w:rFonts w:asciiTheme="majorHAnsi" w:eastAsiaTheme="majorEastAsia" w:hAnsiTheme="majorHAnsi" w:cstheme="majorBidi"/>
      <w:b/>
      <w:color w:val="003087"/>
      <w:sz w:val="36"/>
      <w:szCs w:val="26"/>
    </w:rPr>
  </w:style>
  <w:style w:type="character" w:customStyle="1" w:styleId="Heading3Char">
    <w:name w:val="Heading 3 Char"/>
    <w:basedOn w:val="DefaultParagraphFont"/>
    <w:link w:val="Heading3"/>
    <w:rsid w:val="00E43269"/>
    <w:rPr>
      <w:rFonts w:asciiTheme="majorHAnsi" w:eastAsiaTheme="majorEastAsia" w:hAnsiTheme="majorHAnsi" w:cstheme="majorBidi"/>
      <w:b/>
      <w:color w:val="005CB9"/>
      <w:sz w:val="32"/>
      <w:szCs w:val="24"/>
    </w:rPr>
  </w:style>
  <w:style w:type="character" w:customStyle="1" w:styleId="Heading4Char">
    <w:name w:val="Heading 4 Char"/>
    <w:basedOn w:val="DefaultParagraphFont"/>
    <w:link w:val="Heading4"/>
    <w:rsid w:val="00E43269"/>
    <w:rPr>
      <w:rFonts w:asciiTheme="majorHAnsi" w:eastAsiaTheme="majorEastAsia" w:hAnsiTheme="majorHAnsi" w:cstheme="majorBidi"/>
      <w:b/>
      <w:iCs/>
      <w:color w:val="022167" w:themeColor="text1"/>
      <w:sz w:val="28"/>
      <w:szCs w:val="20"/>
    </w:rPr>
  </w:style>
  <w:style w:type="character" w:customStyle="1" w:styleId="Heading6Char">
    <w:name w:val="Heading 6 Char"/>
    <w:basedOn w:val="DefaultParagraphFont"/>
    <w:link w:val="Heading6"/>
    <w:rsid w:val="00E43269"/>
    <w:rPr>
      <w:rFonts w:asciiTheme="majorHAnsi" w:eastAsiaTheme="majorEastAsia" w:hAnsiTheme="majorHAnsi" w:cstheme="majorBidi"/>
      <w:b/>
      <w:iCs/>
      <w:color w:val="022167" w:themeColor="text1"/>
      <w:sz w:val="24"/>
      <w:szCs w:val="20"/>
    </w:rPr>
  </w:style>
  <w:style w:type="paragraph" w:styleId="Caption">
    <w:name w:val="caption"/>
    <w:basedOn w:val="BodyText"/>
    <w:next w:val="BodyText"/>
    <w:uiPriority w:val="4"/>
    <w:qFormat/>
    <w:rsid w:val="004D7F37"/>
    <w:pPr>
      <w:keepNext/>
      <w:spacing w:after="60"/>
    </w:pPr>
    <w:rPr>
      <w:b/>
      <w:iCs/>
      <w:color w:val="000000" w:themeColor="text2"/>
      <w:sz w:val="20"/>
      <w:szCs w:val="18"/>
    </w:rPr>
  </w:style>
  <w:style w:type="paragraph" w:styleId="ListBullet">
    <w:name w:val="List Bullet"/>
    <w:uiPriority w:val="5"/>
    <w:qFormat/>
    <w:rsid w:val="00250F08"/>
    <w:pPr>
      <w:numPr>
        <w:numId w:val="5"/>
      </w:numPr>
      <w:spacing w:before="120" w:after="120" w:line="288" w:lineRule="auto"/>
    </w:pPr>
    <w:rPr>
      <w:rFonts w:cs="Calibri"/>
      <w:szCs w:val="20"/>
    </w:rPr>
  </w:style>
  <w:style w:type="paragraph" w:styleId="ListNumber">
    <w:name w:val="List Number"/>
    <w:uiPriority w:val="5"/>
    <w:qFormat/>
    <w:rsid w:val="00966638"/>
    <w:pPr>
      <w:numPr>
        <w:numId w:val="6"/>
      </w:numPr>
      <w:spacing w:before="120" w:after="120" w:line="288" w:lineRule="auto"/>
    </w:pPr>
    <w:rPr>
      <w:szCs w:val="20"/>
    </w:rPr>
  </w:style>
  <w:style w:type="paragraph" w:styleId="Title">
    <w:name w:val="Title"/>
    <w:basedOn w:val="Normal"/>
    <w:link w:val="TitleChar"/>
    <w:uiPriority w:val="10"/>
    <w:qFormat/>
    <w:rsid w:val="002236D2"/>
    <w:pPr>
      <w:spacing w:before="3600" w:after="480" w:line="300" w:lineRule="auto"/>
      <w:contextualSpacing/>
      <w:jc w:val="center"/>
      <w:outlineLvl w:val="0"/>
    </w:pPr>
    <w:rPr>
      <w:rFonts w:asciiTheme="majorHAnsi" w:eastAsiaTheme="majorEastAsia" w:hAnsiTheme="majorHAnsi" w:cstheme="majorBidi"/>
      <w:b/>
      <w:color w:val="005CB9"/>
      <w:spacing w:val="-10"/>
      <w:kern w:val="28"/>
      <w:sz w:val="56"/>
      <w:szCs w:val="56"/>
    </w:rPr>
  </w:style>
  <w:style w:type="character" w:customStyle="1" w:styleId="TitleChar">
    <w:name w:val="Title Char"/>
    <w:basedOn w:val="DefaultParagraphFont"/>
    <w:link w:val="Title"/>
    <w:uiPriority w:val="10"/>
    <w:rsid w:val="002236D2"/>
    <w:rPr>
      <w:rFonts w:asciiTheme="majorHAnsi" w:eastAsiaTheme="majorEastAsia" w:hAnsiTheme="majorHAnsi" w:cstheme="majorBidi"/>
      <w:b/>
      <w:color w:val="005CB9"/>
      <w:spacing w:val="-10"/>
      <w:kern w:val="28"/>
      <w:sz w:val="56"/>
      <w:szCs w:val="56"/>
    </w:rPr>
  </w:style>
  <w:style w:type="paragraph" w:styleId="Subtitle">
    <w:name w:val="Subtitle"/>
    <w:basedOn w:val="Normal"/>
    <w:link w:val="SubtitleChar"/>
    <w:uiPriority w:val="11"/>
    <w:semiHidden/>
    <w:qFormat/>
    <w:rsid w:val="002236D2"/>
    <w:pPr>
      <w:numPr>
        <w:ilvl w:val="1"/>
      </w:numPr>
      <w:spacing w:before="600" w:after="160" w:line="300" w:lineRule="auto"/>
      <w:jc w:val="center"/>
    </w:pPr>
    <w:rPr>
      <w:rFonts w:eastAsiaTheme="minorEastAsia"/>
      <w:b/>
      <w:color w:val="000000" w:themeColor="text2"/>
      <w:sz w:val="32"/>
    </w:rPr>
  </w:style>
  <w:style w:type="character" w:customStyle="1" w:styleId="SubtitleChar">
    <w:name w:val="Subtitle Char"/>
    <w:basedOn w:val="DefaultParagraphFont"/>
    <w:link w:val="Subtitle"/>
    <w:uiPriority w:val="11"/>
    <w:semiHidden/>
    <w:rsid w:val="002236D2"/>
    <w:rPr>
      <w:rFonts w:eastAsiaTheme="minorEastAsia"/>
      <w:b/>
      <w:color w:val="000000" w:themeColor="text2"/>
      <w:sz w:val="32"/>
      <w:szCs w:val="20"/>
    </w:rPr>
  </w:style>
  <w:style w:type="character" w:styleId="Strong">
    <w:name w:val="Strong"/>
    <w:uiPriority w:val="4"/>
    <w:qFormat/>
    <w:rsid w:val="00250F08"/>
    <w:rPr>
      <w:b/>
      <w:bCs/>
    </w:rPr>
  </w:style>
  <w:style w:type="character" w:styleId="Emphasis">
    <w:name w:val="Emphasis"/>
    <w:uiPriority w:val="4"/>
    <w:qFormat/>
    <w:rsid w:val="00250F08"/>
    <w:rPr>
      <w:i/>
      <w:iCs/>
    </w:rPr>
  </w:style>
  <w:style w:type="paragraph" w:styleId="ListParagraph">
    <w:name w:val="List Paragraph"/>
    <w:uiPriority w:val="5"/>
    <w:qFormat/>
    <w:rsid w:val="00660E58"/>
    <w:pPr>
      <w:spacing w:before="120" w:after="120"/>
      <w:ind w:left="720"/>
    </w:pPr>
    <w:rPr>
      <w:szCs w:val="20"/>
    </w:rPr>
  </w:style>
  <w:style w:type="table" w:customStyle="1" w:styleId="AccessibleBaseforTables">
    <w:name w:val="Accessible Base for Tables"/>
    <w:basedOn w:val="TableNormal"/>
    <w:uiPriority w:val="99"/>
    <w:rsid w:val="00A05C85"/>
    <w:pPr>
      <w:jc w:val="center"/>
    </w:pPr>
    <w:rPr>
      <w:sz w:val="20"/>
    </w:rPr>
    <w:tblPr>
      <w:tblCellMar>
        <w:left w:w="0" w:type="dxa"/>
        <w:right w:w="0" w:type="dxa"/>
      </w:tblCellMar>
    </w:tblPr>
    <w:trPr>
      <w:cantSplit/>
    </w:trPr>
    <w:tblStylePr w:type="firstRow">
      <w:pPr>
        <w:jc w:val="center"/>
      </w:pPr>
      <w:tblPr/>
      <w:trPr>
        <w:tblHeader/>
      </w:trPr>
    </w:tblStylePr>
    <w:tblStylePr w:type="firstCol">
      <w:pPr>
        <w:jc w:val="left"/>
      </w:pPr>
    </w:tblStylePr>
  </w:style>
  <w:style w:type="table" w:customStyle="1" w:styleId="AccessibleTable">
    <w:name w:val="Accessible Table"/>
    <w:basedOn w:val="AccessibleBaseforTables"/>
    <w:uiPriority w:val="99"/>
    <w:rsid w:val="00063D03"/>
    <w:tblPr>
      <w:tblStyleRowBandSize w:val="1"/>
      <w:tblBorders>
        <w:top w:val="single" w:sz="4" w:space="0" w:color="022167" w:themeColor="text1"/>
        <w:left w:val="single" w:sz="4" w:space="0" w:color="022167" w:themeColor="text1"/>
        <w:bottom w:val="single" w:sz="4" w:space="0" w:color="022167" w:themeColor="text1"/>
        <w:right w:val="single" w:sz="4" w:space="0" w:color="022167" w:themeColor="text1"/>
        <w:insideH w:val="single" w:sz="4" w:space="0" w:color="022167" w:themeColor="text1"/>
        <w:insideV w:val="single" w:sz="4" w:space="0" w:color="022167" w:themeColor="text1"/>
      </w:tblBorders>
    </w:tblPr>
    <w:tblStylePr w:type="firstRow">
      <w:pPr>
        <w:jc w:val="center"/>
      </w:pPr>
      <w:rPr>
        <w:b/>
      </w:rPr>
      <w:tblPr/>
      <w:trPr>
        <w:tblHeader/>
      </w:trPr>
      <w:tcPr>
        <w:shd w:val="clear" w:color="auto" w:fill="C4DDF4" w:themeFill="accent1" w:themeFillTint="66"/>
        <w:vAlign w:val="bottom"/>
      </w:tcPr>
    </w:tblStylePr>
    <w:tblStylePr w:type="lastRow">
      <w:rPr>
        <w:b/>
      </w:rPr>
      <w:tblPr/>
      <w:tcPr>
        <w:tcBorders>
          <w:top w:val="single" w:sz="4" w:space="0" w:color="auto"/>
        </w:tcBorders>
        <w:shd w:val="clear" w:color="auto" w:fill="C4DDF4" w:themeFill="accent1" w:themeFillTint="66"/>
      </w:tcPr>
    </w:tblStylePr>
    <w:tblStylePr w:type="firstCol">
      <w:pPr>
        <w:jc w:val="left"/>
      </w:pPr>
      <w:rPr>
        <w:b/>
      </w:rPr>
      <w:tblPr/>
      <w:tcPr>
        <w:shd w:val="clear" w:color="auto" w:fill="C4DDF4" w:themeFill="accent1" w:themeFillTint="66"/>
      </w:tcPr>
    </w:tblStylePr>
    <w:tblStylePr w:type="lastCol">
      <w:rPr>
        <w:b/>
      </w:rPr>
      <w:tblPr/>
      <w:tcPr>
        <w:tcBorders>
          <w:left w:val="single" w:sz="4" w:space="0" w:color="auto"/>
        </w:tcBorders>
        <w:shd w:val="clear" w:color="auto" w:fill="C4DDF4" w:themeFill="accent1" w:themeFillTint="66"/>
      </w:tcPr>
    </w:tblStylePr>
    <w:tblStylePr w:type="band2Horz">
      <w:tblPr/>
      <w:tcPr>
        <w:shd w:val="clear" w:color="auto" w:fill="E1EEF9" w:themeFill="accent1" w:themeFillTint="33"/>
      </w:tcPr>
    </w:tblStylePr>
  </w:style>
  <w:style w:type="paragraph" w:styleId="BlockText">
    <w:name w:val="Block Text"/>
    <w:basedOn w:val="BodyText"/>
    <w:uiPriority w:val="6"/>
    <w:qFormat/>
    <w:rsid w:val="000D61EC"/>
    <w:pPr>
      <w:pBdr>
        <w:top w:val="single" w:sz="8" w:space="10" w:color="003087"/>
        <w:left w:val="single" w:sz="36" w:space="10" w:color="003087"/>
        <w:bottom w:val="single" w:sz="8" w:space="10" w:color="003087"/>
        <w:right w:val="single" w:sz="36" w:space="10" w:color="003087"/>
      </w:pBdr>
      <w:spacing w:before="360" w:after="360"/>
      <w:ind w:left="1152" w:right="1152"/>
    </w:pPr>
    <w:rPr>
      <w:rFonts w:eastAsiaTheme="minorEastAsia"/>
      <w:iCs/>
    </w:rPr>
  </w:style>
  <w:style w:type="character" w:customStyle="1" w:styleId="Heading5Char">
    <w:name w:val="Heading 5 Char"/>
    <w:basedOn w:val="DefaultParagraphFont"/>
    <w:link w:val="Heading5"/>
    <w:rsid w:val="00E43269"/>
    <w:rPr>
      <w:rFonts w:asciiTheme="majorHAnsi" w:eastAsiaTheme="majorEastAsia" w:hAnsiTheme="majorHAnsi" w:cstheme="majorBidi"/>
      <w:b/>
      <w:iCs/>
      <w:color w:val="005CB9"/>
      <w:sz w:val="26"/>
      <w:szCs w:val="20"/>
    </w:rPr>
  </w:style>
  <w:style w:type="numbering" w:customStyle="1" w:styleId="HHSBullets">
    <w:name w:val="HHS Bullets"/>
    <w:uiPriority w:val="99"/>
    <w:rsid w:val="00A05C85"/>
    <w:pPr>
      <w:numPr>
        <w:numId w:val="2"/>
      </w:numPr>
    </w:pPr>
  </w:style>
  <w:style w:type="table" w:customStyle="1" w:styleId="HHSFinancialData">
    <w:name w:val="HHS Financial Data"/>
    <w:basedOn w:val="AccessibleBaseforTables"/>
    <w:uiPriority w:val="99"/>
    <w:rsid w:val="00445998"/>
    <w:pPr>
      <w:jc w:val="right"/>
    </w:pPr>
    <w:rPr>
      <w:szCs w:val="20"/>
    </w:rPr>
    <w:tblPr>
      <w:tblStyleRowBandSize w:val="1"/>
      <w:tblStyleColBandSize w:val="1"/>
      <w:tblBorders>
        <w:top w:val="single" w:sz="2" w:space="0" w:color="022167" w:themeColor="text1"/>
        <w:left w:val="single" w:sz="2" w:space="0" w:color="022167" w:themeColor="text1"/>
        <w:bottom w:val="single" w:sz="2" w:space="0" w:color="022167" w:themeColor="text1"/>
        <w:right w:val="single" w:sz="2" w:space="0" w:color="022167" w:themeColor="text1"/>
        <w:insideH w:val="single" w:sz="2" w:space="0" w:color="022167" w:themeColor="text1"/>
        <w:insideV w:val="single" w:sz="2" w:space="0" w:color="022167" w:themeColor="text1"/>
      </w:tblBorders>
    </w:tblPr>
    <w:tcPr>
      <w:vAlign w:val="bottom"/>
    </w:tcPr>
    <w:tblStylePr w:type="firstRow">
      <w:pPr>
        <w:wordWrap/>
        <w:jc w:val="center"/>
      </w:pPr>
      <w:rPr>
        <w:rFonts w:asciiTheme="minorHAnsi" w:hAnsiTheme="minorHAnsi"/>
        <w:b/>
        <w:sz w:val="20"/>
      </w:rPr>
      <w:tblPr/>
      <w:trPr>
        <w:tblHeader/>
      </w:trPr>
      <w:tcPr>
        <w:shd w:val="clear" w:color="auto" w:fill="C4DDF4" w:themeFill="accent1" w:themeFillTint="66"/>
      </w:tcPr>
    </w:tblStylePr>
    <w:tblStylePr w:type="lastRow">
      <w:rPr>
        <w:b/>
      </w:rPr>
      <w:tblPr/>
      <w:tcPr>
        <w:shd w:val="clear" w:color="auto" w:fill="C4DDF4" w:themeFill="accent1" w:themeFillTint="66"/>
      </w:tcPr>
    </w:tblStylePr>
    <w:tblStylePr w:type="firstCol">
      <w:pPr>
        <w:wordWrap/>
        <w:jc w:val="left"/>
      </w:pPr>
      <w:rPr>
        <w:b/>
      </w:rPr>
      <w:tblPr/>
      <w:tcPr>
        <w:tcMar>
          <w:top w:w="0" w:type="dxa"/>
          <w:left w:w="0" w:type="dxa"/>
          <w:bottom w:w="0" w:type="dxa"/>
          <w:right w:w="0" w:type="dxa"/>
        </w:tcMar>
      </w:tcPr>
    </w:tblStylePr>
    <w:tblStylePr w:type="lastCol">
      <w:rPr>
        <w:b/>
      </w:rPr>
      <w:tblPr/>
      <w:tcPr>
        <w:shd w:val="clear" w:color="auto" w:fill="C4DDF4" w:themeFill="accent1" w:themeFillTint="66"/>
      </w:tcPr>
    </w:tblStylePr>
    <w:tblStylePr w:type="band1Horz">
      <w:pPr>
        <w:jc w:val="right"/>
      </w:pPr>
    </w:tblStylePr>
    <w:tblStylePr w:type="band2Horz">
      <w:pPr>
        <w:jc w:val="right"/>
      </w:pPr>
      <w:tblPr/>
      <w:tcPr>
        <w:shd w:val="clear" w:color="auto" w:fill="E1EEF9" w:themeFill="accent1" w:themeFillTint="33"/>
      </w:tcPr>
    </w:tblStylePr>
    <w:tblStylePr w:type="nwCell">
      <w:pPr>
        <w:wordWrap/>
        <w:jc w:val="center"/>
      </w:pPr>
      <w:tblPr/>
      <w:tcPr>
        <w:vAlign w:val="bottom"/>
      </w:tcPr>
    </w:tblStylePr>
    <w:tblStylePr w:type="swCell">
      <w:pPr>
        <w:jc w:val="left"/>
      </w:pPr>
      <w:tblPr/>
      <w:trPr>
        <w:cantSplit w:val="0"/>
      </w:trPr>
      <w:tcPr>
        <w:vAlign w:val="bottom"/>
      </w:tcPr>
    </w:tblStylePr>
  </w:style>
  <w:style w:type="numbering" w:customStyle="1" w:styleId="HHSHeadingNumbering">
    <w:name w:val="HHS Heading Numbering"/>
    <w:uiPriority w:val="99"/>
    <w:rsid w:val="00D16536"/>
    <w:pPr>
      <w:numPr>
        <w:numId w:val="1"/>
      </w:numPr>
    </w:pPr>
  </w:style>
  <w:style w:type="numbering" w:customStyle="1" w:styleId="HHSNumbering">
    <w:name w:val="HHS Numbering"/>
    <w:uiPriority w:val="99"/>
    <w:rsid w:val="00A05C85"/>
    <w:pPr>
      <w:numPr>
        <w:numId w:val="3"/>
      </w:numPr>
    </w:pPr>
  </w:style>
  <w:style w:type="table" w:customStyle="1" w:styleId="HHSTableforTextData">
    <w:name w:val="HHS Table for Text Data"/>
    <w:basedOn w:val="AccessibleBaseforTables"/>
    <w:uiPriority w:val="99"/>
    <w:rsid w:val="00063D03"/>
    <w:rPr>
      <w:szCs w:val="20"/>
    </w:rPr>
    <w:tblPr>
      <w:tblStyleRowBandSize w:val="1"/>
      <w:tblStyleColBandSize w:val="1"/>
      <w:tblBorders>
        <w:top w:val="single" w:sz="4" w:space="0" w:color="022167" w:themeColor="text1"/>
        <w:left w:val="single" w:sz="4" w:space="0" w:color="022167" w:themeColor="text1"/>
        <w:bottom w:val="single" w:sz="4" w:space="0" w:color="022167" w:themeColor="text1"/>
        <w:right w:val="single" w:sz="4" w:space="0" w:color="022167" w:themeColor="text1"/>
        <w:insideH w:val="single" w:sz="4" w:space="0" w:color="022167" w:themeColor="text1"/>
        <w:insideV w:val="single" w:sz="4" w:space="0" w:color="022167" w:themeColor="text1"/>
      </w:tblBorders>
    </w:tblPr>
    <w:tblStylePr w:type="firstRow">
      <w:pPr>
        <w:wordWrap/>
        <w:jc w:val="center"/>
      </w:pPr>
      <w:rPr>
        <w:b/>
      </w:rPr>
      <w:tblPr/>
      <w:trPr>
        <w:tblHeader/>
      </w:trPr>
      <w:tcPr>
        <w:shd w:val="clear" w:color="auto" w:fill="C4DDF4" w:themeFill="accent1" w:themeFillTint="66"/>
        <w:vAlign w:val="bottom"/>
      </w:tcPr>
    </w:tblStylePr>
    <w:tblStylePr w:type="lastRow">
      <w:pPr>
        <w:jc w:val="left"/>
      </w:pPr>
    </w:tblStylePr>
    <w:tblStylePr w:type="firstCol">
      <w:pPr>
        <w:jc w:val="left"/>
      </w:pPr>
    </w:tblStylePr>
    <w:tblStylePr w:type="lastCol">
      <w:pPr>
        <w:jc w:val="left"/>
      </w:pPr>
    </w:tblStylePr>
    <w:tblStylePr w:type="band1Vert">
      <w:pPr>
        <w:jc w:val="left"/>
      </w:pPr>
    </w:tblStylePr>
    <w:tblStylePr w:type="band2Vert">
      <w:pPr>
        <w:jc w:val="left"/>
      </w:pPr>
    </w:tblStylePr>
    <w:tblStylePr w:type="band1Horz">
      <w:pPr>
        <w:jc w:val="left"/>
      </w:pPr>
    </w:tblStylePr>
    <w:tblStylePr w:type="band2Horz">
      <w:pPr>
        <w:jc w:val="left"/>
      </w:pPr>
      <w:tblPr/>
      <w:tcPr>
        <w:shd w:val="clear" w:color="auto" w:fill="E1EEF9" w:themeFill="accent1" w:themeFillTint="33"/>
      </w:tcPr>
    </w:tblStylePr>
  </w:style>
  <w:style w:type="character" w:styleId="Hyperlink">
    <w:name w:val="Hyperlink"/>
    <w:uiPriority w:val="4"/>
    <w:rsid w:val="00A05C85"/>
    <w:rPr>
      <w:rFonts w:asciiTheme="minorHAnsi" w:hAnsiTheme="minorHAnsi" w:cs="Times New Roman" w:hint="default"/>
      <w:color w:val="0965D5"/>
      <w:u w:val="single"/>
    </w:rPr>
  </w:style>
  <w:style w:type="table" w:customStyle="1" w:styleId="ListofAcronyms">
    <w:name w:val="List of Acronyms"/>
    <w:basedOn w:val="TableNormal"/>
    <w:uiPriority w:val="99"/>
    <w:rsid w:val="00F54A70"/>
    <w:tblPr>
      <w:tblStyleRowBandSize w:val="1"/>
    </w:tblPr>
    <w:tblStylePr w:type="firstRow">
      <w:rPr>
        <w:b/>
        <w:i w:val="0"/>
      </w:rPr>
      <w:tblPr/>
      <w:trPr>
        <w:cantSplit/>
        <w:tblHeader/>
      </w:trPr>
      <w:tcPr>
        <w:tcBorders>
          <w:top w:val="nil"/>
          <w:left w:val="nil"/>
          <w:bottom w:val="nil"/>
          <w:right w:val="nil"/>
          <w:insideH w:val="nil"/>
          <w:insideV w:val="nil"/>
          <w:tl2br w:val="nil"/>
          <w:tr2bl w:val="nil"/>
        </w:tcBorders>
      </w:tcPr>
    </w:tblStylePr>
    <w:tblStylePr w:type="band1Horz">
      <w:tblPr/>
      <w:tcPr>
        <w:tcBorders>
          <w:top w:val="single" w:sz="4" w:space="0" w:color="auto"/>
          <w:left w:val="nil"/>
          <w:bottom w:val="nil"/>
          <w:right w:val="nil"/>
          <w:insideH w:val="nil"/>
          <w:insideV w:val="nil"/>
          <w:tl2br w:val="nil"/>
          <w:tr2bl w:val="nil"/>
        </w:tcBorders>
      </w:tcPr>
    </w:tblStylePr>
    <w:tblStylePr w:type="band2Horz">
      <w:tblPr/>
      <w:tcPr>
        <w:tcBorders>
          <w:top w:val="single" w:sz="4" w:space="0" w:color="auto"/>
          <w:left w:val="nil"/>
          <w:bottom w:val="nil"/>
          <w:right w:val="nil"/>
          <w:insideH w:val="nil"/>
          <w:insideV w:val="nil"/>
          <w:tl2br w:val="nil"/>
          <w:tr2bl w:val="nil"/>
        </w:tcBorders>
      </w:tcPr>
    </w:tblStylePr>
  </w:style>
  <w:style w:type="table" w:styleId="TableGrid">
    <w:name w:val="Table Grid"/>
    <w:basedOn w:val="TableNormal"/>
    <w:uiPriority w:val="39"/>
    <w:rsid w:val="00063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55070"/>
    <w:pPr>
      <w:spacing w:before="240"/>
      <w:ind w:left="180" w:hanging="180"/>
      <w:contextualSpacing/>
    </w:pPr>
    <w:rPr>
      <w:sz w:val="18"/>
    </w:rPr>
  </w:style>
  <w:style w:type="character" w:customStyle="1" w:styleId="EndnoteTextChar">
    <w:name w:val="Endnote Text Char"/>
    <w:basedOn w:val="DefaultParagraphFont"/>
    <w:link w:val="EndnoteText"/>
    <w:uiPriority w:val="99"/>
    <w:semiHidden/>
    <w:rsid w:val="00C55070"/>
    <w:rPr>
      <w:sz w:val="18"/>
      <w:szCs w:val="20"/>
    </w:rPr>
  </w:style>
  <w:style w:type="paragraph" w:styleId="TOC3">
    <w:name w:val="toc 3"/>
    <w:basedOn w:val="Normal"/>
    <w:next w:val="Normal"/>
    <w:uiPriority w:val="1"/>
    <w:semiHidden/>
    <w:rsid w:val="00A73EF7"/>
    <w:pPr>
      <w:spacing w:after="100"/>
      <w:ind w:left="440"/>
    </w:pPr>
    <w:rPr>
      <w:rFonts w:asciiTheme="majorHAnsi" w:hAnsiTheme="majorHAnsi"/>
    </w:rPr>
  </w:style>
  <w:style w:type="paragraph" w:styleId="TOC4">
    <w:name w:val="toc 4"/>
    <w:basedOn w:val="Normal"/>
    <w:next w:val="Normal"/>
    <w:uiPriority w:val="1"/>
    <w:semiHidden/>
    <w:rsid w:val="00A73EF7"/>
    <w:pPr>
      <w:spacing w:after="100"/>
      <w:ind w:left="660"/>
    </w:pPr>
    <w:rPr>
      <w:rFonts w:asciiTheme="majorHAnsi" w:hAnsiTheme="majorHAnsi"/>
    </w:rPr>
  </w:style>
  <w:style w:type="paragraph" w:styleId="TOC5">
    <w:name w:val="toc 5"/>
    <w:basedOn w:val="Normal"/>
    <w:next w:val="Normal"/>
    <w:uiPriority w:val="1"/>
    <w:semiHidden/>
    <w:rsid w:val="00A73EF7"/>
    <w:pPr>
      <w:spacing w:after="100"/>
      <w:ind w:left="880"/>
    </w:pPr>
    <w:rPr>
      <w:rFonts w:asciiTheme="majorHAnsi" w:hAnsiTheme="majorHAnsi"/>
    </w:rPr>
  </w:style>
  <w:style w:type="paragraph" w:styleId="TOC6">
    <w:name w:val="toc 6"/>
    <w:basedOn w:val="Normal"/>
    <w:next w:val="Normal"/>
    <w:uiPriority w:val="1"/>
    <w:semiHidden/>
    <w:rsid w:val="00A73EF7"/>
    <w:pPr>
      <w:spacing w:after="100"/>
      <w:ind w:left="1100"/>
    </w:pPr>
    <w:rPr>
      <w:rFonts w:asciiTheme="majorHAnsi" w:hAnsiTheme="majorHAnsi"/>
    </w:rPr>
  </w:style>
  <w:style w:type="paragraph" w:styleId="Quote">
    <w:name w:val="Quote"/>
    <w:link w:val="QuoteChar"/>
    <w:uiPriority w:val="6"/>
    <w:qFormat/>
    <w:rsid w:val="00660E58"/>
    <w:pPr>
      <w:spacing w:before="200" w:after="160" w:line="288" w:lineRule="auto"/>
      <w:ind w:left="864" w:right="864"/>
      <w:jc w:val="center"/>
    </w:pPr>
    <w:rPr>
      <w:i/>
      <w:iCs/>
      <w:color w:val="0440CA" w:themeColor="text1" w:themeTint="BF"/>
      <w:szCs w:val="20"/>
    </w:rPr>
  </w:style>
  <w:style w:type="character" w:customStyle="1" w:styleId="QuoteChar">
    <w:name w:val="Quote Char"/>
    <w:basedOn w:val="DefaultParagraphFont"/>
    <w:link w:val="Quote"/>
    <w:uiPriority w:val="6"/>
    <w:rsid w:val="00660E58"/>
    <w:rPr>
      <w:i/>
      <w:iCs/>
      <w:color w:val="0440CA" w:themeColor="text1" w:themeTint="BF"/>
      <w:szCs w:val="20"/>
    </w:rPr>
  </w:style>
  <w:style w:type="character" w:styleId="UnresolvedMention">
    <w:name w:val="Unresolved Mention"/>
    <w:basedOn w:val="DefaultParagraphFont"/>
    <w:uiPriority w:val="99"/>
    <w:semiHidden/>
    <w:unhideWhenUsed/>
    <w:rsid w:val="00CC5572"/>
    <w:rPr>
      <w:color w:val="808080"/>
      <w:shd w:val="clear" w:color="auto" w:fill="E6E6E6"/>
    </w:rPr>
  </w:style>
  <w:style w:type="numbering" w:customStyle="1" w:styleId="Appendixes">
    <w:name w:val="Appendixes"/>
    <w:uiPriority w:val="99"/>
    <w:rsid w:val="005F54F5"/>
    <w:pPr>
      <w:numPr>
        <w:numId w:val="4"/>
      </w:numPr>
    </w:pPr>
  </w:style>
  <w:style w:type="paragraph" w:styleId="Header">
    <w:name w:val="header"/>
    <w:basedOn w:val="Normal"/>
    <w:link w:val="HeaderChar"/>
    <w:uiPriority w:val="7"/>
    <w:unhideWhenUsed/>
    <w:rsid w:val="00D072AE"/>
    <w:pPr>
      <w:pBdr>
        <w:bottom w:val="single" w:sz="4" w:space="1" w:color="auto"/>
      </w:pBdr>
      <w:tabs>
        <w:tab w:val="center" w:pos="4680"/>
        <w:tab w:val="right" w:pos="9360"/>
      </w:tabs>
      <w:spacing w:before="240"/>
    </w:pPr>
  </w:style>
  <w:style w:type="character" w:customStyle="1" w:styleId="HeaderChar">
    <w:name w:val="Header Char"/>
    <w:basedOn w:val="DefaultParagraphFont"/>
    <w:link w:val="Header"/>
    <w:uiPriority w:val="7"/>
    <w:rsid w:val="002236D2"/>
    <w:rPr>
      <w:szCs w:val="20"/>
    </w:rPr>
  </w:style>
  <w:style w:type="paragraph" w:styleId="TOC1">
    <w:name w:val="toc 1"/>
    <w:basedOn w:val="Normal"/>
    <w:next w:val="Normal"/>
    <w:uiPriority w:val="1"/>
    <w:semiHidden/>
    <w:rsid w:val="00BA3755"/>
    <w:pPr>
      <w:spacing w:before="240"/>
    </w:pPr>
    <w:rPr>
      <w:rFonts w:asciiTheme="majorHAnsi" w:hAnsiTheme="majorHAnsi"/>
      <w:b/>
    </w:rPr>
  </w:style>
  <w:style w:type="character" w:styleId="FollowedHyperlink">
    <w:name w:val="FollowedHyperlink"/>
    <w:basedOn w:val="DefaultParagraphFont"/>
    <w:uiPriority w:val="99"/>
    <w:semiHidden/>
    <w:unhideWhenUsed/>
    <w:rsid w:val="008D00BD"/>
    <w:rPr>
      <w:color w:val="0965D5" w:themeColor="followedHyperlink"/>
      <w:u w:val="single"/>
    </w:rPr>
  </w:style>
  <w:style w:type="paragraph" w:styleId="BalloonText">
    <w:name w:val="Balloon Text"/>
    <w:basedOn w:val="Normal"/>
    <w:link w:val="BalloonTextChar"/>
    <w:uiPriority w:val="99"/>
    <w:semiHidden/>
    <w:unhideWhenUsed/>
    <w:rsid w:val="00BE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3B2"/>
    <w:rPr>
      <w:rFonts w:ascii="Segoe UI" w:hAnsi="Segoe UI" w:cs="Segoe UI"/>
      <w:sz w:val="18"/>
      <w:szCs w:val="18"/>
    </w:rPr>
  </w:style>
  <w:style w:type="paragraph" w:styleId="FootnoteText">
    <w:name w:val="footnote text"/>
    <w:basedOn w:val="Normal"/>
    <w:link w:val="FootnoteTextChar"/>
    <w:uiPriority w:val="99"/>
    <w:semiHidden/>
    <w:unhideWhenUsed/>
    <w:rsid w:val="00BE23B2"/>
    <w:rPr>
      <w:sz w:val="20"/>
    </w:rPr>
  </w:style>
  <w:style w:type="character" w:customStyle="1" w:styleId="FootnoteTextChar">
    <w:name w:val="Footnote Text Char"/>
    <w:basedOn w:val="DefaultParagraphFont"/>
    <w:link w:val="FootnoteText"/>
    <w:uiPriority w:val="99"/>
    <w:semiHidden/>
    <w:rsid w:val="00BE23B2"/>
    <w:rPr>
      <w:sz w:val="20"/>
      <w:szCs w:val="20"/>
    </w:rPr>
  </w:style>
  <w:style w:type="character" w:styleId="FootnoteReference">
    <w:name w:val="footnote reference"/>
    <w:basedOn w:val="DefaultParagraphFont"/>
    <w:uiPriority w:val="99"/>
    <w:semiHidden/>
    <w:unhideWhenUsed/>
    <w:rsid w:val="00BE23B2"/>
    <w:rPr>
      <w:vertAlign w:val="superscript"/>
    </w:rPr>
  </w:style>
  <w:style w:type="character" w:styleId="CommentReference">
    <w:name w:val="annotation reference"/>
    <w:basedOn w:val="DefaultParagraphFont"/>
    <w:uiPriority w:val="99"/>
    <w:semiHidden/>
    <w:unhideWhenUsed/>
    <w:rsid w:val="00E168FC"/>
    <w:rPr>
      <w:sz w:val="16"/>
      <w:szCs w:val="16"/>
    </w:rPr>
  </w:style>
  <w:style w:type="paragraph" w:styleId="CommentText">
    <w:name w:val="annotation text"/>
    <w:basedOn w:val="Normal"/>
    <w:link w:val="CommentTextChar"/>
    <w:uiPriority w:val="99"/>
    <w:unhideWhenUsed/>
    <w:rsid w:val="00E168FC"/>
    <w:rPr>
      <w:sz w:val="20"/>
    </w:rPr>
  </w:style>
  <w:style w:type="character" w:customStyle="1" w:styleId="CommentTextChar">
    <w:name w:val="Comment Text Char"/>
    <w:basedOn w:val="DefaultParagraphFont"/>
    <w:link w:val="CommentText"/>
    <w:uiPriority w:val="99"/>
    <w:rsid w:val="00E168FC"/>
    <w:rPr>
      <w:sz w:val="20"/>
      <w:szCs w:val="20"/>
    </w:rPr>
  </w:style>
  <w:style w:type="paragraph" w:styleId="CommentSubject">
    <w:name w:val="annotation subject"/>
    <w:basedOn w:val="CommentText"/>
    <w:next w:val="CommentText"/>
    <w:link w:val="CommentSubjectChar"/>
    <w:uiPriority w:val="99"/>
    <w:semiHidden/>
    <w:unhideWhenUsed/>
    <w:rsid w:val="00E168FC"/>
    <w:rPr>
      <w:b/>
      <w:bCs/>
    </w:rPr>
  </w:style>
  <w:style w:type="character" w:customStyle="1" w:styleId="CommentSubjectChar">
    <w:name w:val="Comment Subject Char"/>
    <w:basedOn w:val="CommentTextChar"/>
    <w:link w:val="CommentSubject"/>
    <w:uiPriority w:val="99"/>
    <w:semiHidden/>
    <w:rsid w:val="00E168FC"/>
    <w:rPr>
      <w:b/>
      <w:bCs/>
      <w:sz w:val="20"/>
      <w:szCs w:val="20"/>
    </w:rPr>
  </w:style>
  <w:style w:type="paragraph" w:styleId="Footer">
    <w:name w:val="footer"/>
    <w:basedOn w:val="Normal"/>
    <w:link w:val="FooterChar"/>
    <w:uiPriority w:val="99"/>
    <w:unhideWhenUsed/>
    <w:rsid w:val="00D072AE"/>
    <w:pPr>
      <w:pBdr>
        <w:top w:val="single" w:sz="4" w:space="1" w:color="auto"/>
      </w:pBdr>
      <w:tabs>
        <w:tab w:val="center" w:pos="4680"/>
        <w:tab w:val="right" w:pos="9360"/>
      </w:tabs>
      <w:spacing w:before="240"/>
    </w:pPr>
  </w:style>
  <w:style w:type="character" w:customStyle="1" w:styleId="FooterChar">
    <w:name w:val="Footer Char"/>
    <w:basedOn w:val="DefaultParagraphFont"/>
    <w:link w:val="Footer"/>
    <w:uiPriority w:val="99"/>
    <w:rsid w:val="002236D2"/>
    <w:rPr>
      <w:szCs w:val="20"/>
    </w:rPr>
  </w:style>
  <w:style w:type="paragraph" w:styleId="TOC2">
    <w:name w:val="toc 2"/>
    <w:basedOn w:val="Normal"/>
    <w:next w:val="Normal"/>
    <w:uiPriority w:val="1"/>
    <w:semiHidden/>
    <w:rsid w:val="006B00B9"/>
    <w:pPr>
      <w:ind w:left="216"/>
    </w:pPr>
    <w:rPr>
      <w:rFonts w:asciiTheme="majorHAnsi" w:hAnsiTheme="majorHAnsi"/>
    </w:rPr>
  </w:style>
  <w:style w:type="character" w:customStyle="1" w:styleId="TOCHeadingChar">
    <w:name w:val="TOC Heading Char"/>
    <w:basedOn w:val="DefaultParagraphFont"/>
    <w:link w:val="TOCHeading"/>
    <w:uiPriority w:val="1"/>
    <w:rsid w:val="00660E58"/>
    <w:rPr>
      <w:rFonts w:asciiTheme="majorHAnsi" w:eastAsia="Times New Roman" w:hAnsiTheme="majorHAnsi" w:cs="Times New Roman"/>
      <w:b/>
      <w:sz w:val="40"/>
      <w:szCs w:val="24"/>
    </w:rPr>
  </w:style>
  <w:style w:type="table" w:customStyle="1" w:styleId="HHSFinancialData1">
    <w:name w:val="HHS Financial Data1"/>
    <w:basedOn w:val="TableNormal"/>
    <w:uiPriority w:val="99"/>
    <w:rsid w:val="00F5710A"/>
    <w:pPr>
      <w:jc w:val="right"/>
    </w:pPr>
    <w:rPr>
      <w:sz w:val="20"/>
      <w:szCs w:val="20"/>
    </w:rPr>
    <w:tblPr>
      <w:tblStyleRowBandSize w:val="1"/>
      <w:tblStyleColBandSize w:val="1"/>
      <w:tblBorders>
        <w:top w:val="single" w:sz="2" w:space="0" w:color="022167"/>
        <w:left w:val="single" w:sz="2" w:space="0" w:color="022167"/>
        <w:bottom w:val="single" w:sz="2" w:space="0" w:color="022167"/>
        <w:right w:val="single" w:sz="2" w:space="0" w:color="022167"/>
        <w:insideH w:val="single" w:sz="2" w:space="0" w:color="022167"/>
        <w:insideV w:val="single" w:sz="2" w:space="0" w:color="022167"/>
      </w:tblBorders>
      <w:tblCellMar>
        <w:left w:w="0" w:type="dxa"/>
        <w:right w:w="0" w:type="dxa"/>
      </w:tblCellMar>
    </w:tblPr>
    <w:trPr>
      <w:cantSplit/>
    </w:trPr>
    <w:tcPr>
      <w:vAlign w:val="bottom"/>
    </w:tcPr>
    <w:tblStylePr w:type="firstRow">
      <w:pPr>
        <w:wordWrap/>
        <w:jc w:val="center"/>
      </w:pPr>
      <w:rPr>
        <w:rFonts w:ascii="Verdana" w:hAnsi="Verdana"/>
        <w:b/>
        <w:sz w:val="20"/>
      </w:rPr>
      <w:tblPr/>
      <w:trPr>
        <w:tblHeader/>
      </w:trPr>
      <w:tcPr>
        <w:shd w:val="clear" w:color="auto" w:fill="C4DDF4"/>
      </w:tcPr>
    </w:tblStylePr>
    <w:tblStylePr w:type="lastRow">
      <w:rPr>
        <w:b/>
      </w:rPr>
      <w:tblPr/>
      <w:tcPr>
        <w:shd w:val="clear" w:color="auto" w:fill="C4DDF4"/>
      </w:tcPr>
    </w:tblStylePr>
    <w:tblStylePr w:type="firstCol">
      <w:pPr>
        <w:wordWrap/>
        <w:jc w:val="left"/>
      </w:pPr>
      <w:rPr>
        <w:b/>
      </w:rPr>
      <w:tblPr/>
      <w:tcPr>
        <w:tcMar>
          <w:top w:w="0" w:type="dxa"/>
          <w:left w:w="0" w:type="dxa"/>
          <w:bottom w:w="0" w:type="dxa"/>
          <w:right w:w="0" w:type="dxa"/>
        </w:tcMar>
      </w:tcPr>
    </w:tblStylePr>
    <w:tblStylePr w:type="lastCol">
      <w:rPr>
        <w:b/>
      </w:rPr>
      <w:tblPr/>
      <w:tcPr>
        <w:shd w:val="clear" w:color="auto" w:fill="C4DDF4"/>
      </w:tcPr>
    </w:tblStylePr>
    <w:tblStylePr w:type="band2Horz">
      <w:tblPr/>
      <w:tcPr>
        <w:shd w:val="clear" w:color="auto" w:fill="E1EEF9"/>
      </w:tcPr>
    </w:tblStylePr>
    <w:tblStylePr w:type="nwCell">
      <w:pPr>
        <w:wordWrap/>
        <w:jc w:val="center"/>
      </w:pPr>
      <w:tblPr/>
      <w:tcPr>
        <w:vAlign w:val="bottom"/>
      </w:tcPr>
    </w:tblStylePr>
    <w:tblStylePr w:type="swCell">
      <w:pPr>
        <w:jc w:val="left"/>
      </w:pPr>
      <w:tblPr/>
      <w:trPr>
        <w:cantSplit w:val="0"/>
      </w:trPr>
      <w:tcPr>
        <w:vAlign w:val="bottom"/>
      </w:tcPr>
    </w:tblStylePr>
  </w:style>
  <w:style w:type="paragraph" w:styleId="Revision">
    <w:name w:val="Revision"/>
    <w:hidden/>
    <w:uiPriority w:val="99"/>
    <w:semiHidden/>
    <w:rsid w:val="007C06CC"/>
    <w:rPr>
      <w:szCs w:val="20"/>
    </w:rPr>
  </w:style>
  <w:style w:type="table" w:styleId="LightList">
    <w:name w:val="Light List"/>
    <w:basedOn w:val="TableNormal"/>
    <w:uiPriority w:val="61"/>
    <w:rsid w:val="00D778F1"/>
    <w:rPr>
      <w:rFonts w:eastAsiaTheme="minorEastAsia"/>
    </w:rPr>
    <w:tblPr>
      <w:tblStyleRowBandSize w:val="1"/>
      <w:tblStyleColBandSize w:val="1"/>
      <w:tblBorders>
        <w:top w:val="single" w:sz="8" w:space="0" w:color="022167" w:themeColor="text1"/>
        <w:left w:val="single" w:sz="8" w:space="0" w:color="022167" w:themeColor="text1"/>
        <w:bottom w:val="single" w:sz="8" w:space="0" w:color="022167" w:themeColor="text1"/>
        <w:right w:val="single" w:sz="8" w:space="0" w:color="022167" w:themeColor="text1"/>
      </w:tblBorders>
    </w:tblPr>
    <w:tblStylePr w:type="firstRow">
      <w:pPr>
        <w:spacing w:before="0" w:after="0" w:line="240" w:lineRule="auto"/>
      </w:pPr>
      <w:rPr>
        <w:b/>
        <w:bCs/>
        <w:color w:val="FFFFFF" w:themeColor="background1"/>
      </w:rPr>
      <w:tblPr/>
      <w:tcPr>
        <w:shd w:val="clear" w:color="auto" w:fill="022167" w:themeFill="text1"/>
      </w:tcPr>
    </w:tblStylePr>
    <w:tblStylePr w:type="lastRow">
      <w:pPr>
        <w:spacing w:before="0" w:after="0" w:line="240" w:lineRule="auto"/>
      </w:pPr>
      <w:rPr>
        <w:b/>
        <w:bCs/>
      </w:rPr>
      <w:tblPr/>
      <w:tcPr>
        <w:tcBorders>
          <w:top w:val="double" w:sz="6" w:space="0" w:color="022167" w:themeColor="text1"/>
          <w:left w:val="single" w:sz="8" w:space="0" w:color="022167" w:themeColor="text1"/>
          <w:bottom w:val="single" w:sz="8" w:space="0" w:color="022167" w:themeColor="text1"/>
          <w:right w:val="single" w:sz="8" w:space="0" w:color="022167" w:themeColor="text1"/>
        </w:tcBorders>
      </w:tcPr>
    </w:tblStylePr>
    <w:tblStylePr w:type="firstCol">
      <w:rPr>
        <w:b/>
        <w:bCs/>
      </w:rPr>
    </w:tblStylePr>
    <w:tblStylePr w:type="lastCol">
      <w:rPr>
        <w:b/>
        <w:bCs/>
      </w:rPr>
    </w:tblStylePr>
    <w:tblStylePr w:type="band1Vert">
      <w:tblPr/>
      <w:tcPr>
        <w:tcBorders>
          <w:top w:val="single" w:sz="8" w:space="0" w:color="022167" w:themeColor="text1"/>
          <w:left w:val="single" w:sz="8" w:space="0" w:color="022167" w:themeColor="text1"/>
          <w:bottom w:val="single" w:sz="8" w:space="0" w:color="022167" w:themeColor="text1"/>
          <w:right w:val="single" w:sz="8" w:space="0" w:color="022167" w:themeColor="text1"/>
        </w:tcBorders>
      </w:tcPr>
    </w:tblStylePr>
    <w:tblStylePr w:type="band1Horz">
      <w:tblPr/>
      <w:tcPr>
        <w:tcBorders>
          <w:top w:val="single" w:sz="8" w:space="0" w:color="022167" w:themeColor="text1"/>
          <w:left w:val="single" w:sz="8" w:space="0" w:color="022167" w:themeColor="text1"/>
          <w:bottom w:val="single" w:sz="8" w:space="0" w:color="022167" w:themeColor="text1"/>
          <w:right w:val="single" w:sz="8" w:space="0" w:color="022167"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248704">
      <w:bodyDiv w:val="1"/>
      <w:marLeft w:val="0"/>
      <w:marRight w:val="0"/>
      <w:marTop w:val="0"/>
      <w:marBottom w:val="0"/>
      <w:divBdr>
        <w:top w:val="none" w:sz="0" w:space="0" w:color="auto"/>
        <w:left w:val="none" w:sz="0" w:space="0" w:color="auto"/>
        <w:bottom w:val="none" w:sz="0" w:space="0" w:color="auto"/>
        <w:right w:val="none" w:sz="0" w:space="0" w:color="auto"/>
      </w:divBdr>
      <w:divsChild>
        <w:div w:id="207769553">
          <w:marLeft w:val="0"/>
          <w:marRight w:val="0"/>
          <w:marTop w:val="0"/>
          <w:marBottom w:val="0"/>
          <w:divBdr>
            <w:top w:val="none" w:sz="0" w:space="0" w:color="auto"/>
            <w:left w:val="none" w:sz="0" w:space="0" w:color="auto"/>
            <w:bottom w:val="none" w:sz="0" w:space="0" w:color="auto"/>
            <w:right w:val="none" w:sz="0" w:space="0" w:color="auto"/>
          </w:divBdr>
          <w:divsChild>
            <w:div w:id="1980643405">
              <w:marLeft w:val="0"/>
              <w:marRight w:val="0"/>
              <w:marTop w:val="0"/>
              <w:marBottom w:val="0"/>
              <w:divBdr>
                <w:top w:val="none" w:sz="0" w:space="0" w:color="auto"/>
                <w:left w:val="none" w:sz="0" w:space="0" w:color="auto"/>
                <w:bottom w:val="none" w:sz="0" w:space="0" w:color="auto"/>
                <w:right w:val="none" w:sz="0" w:space="0" w:color="auto"/>
              </w:divBdr>
              <w:divsChild>
                <w:div w:id="82075451">
                  <w:marLeft w:val="0"/>
                  <w:marRight w:val="0"/>
                  <w:marTop w:val="0"/>
                  <w:marBottom w:val="0"/>
                  <w:divBdr>
                    <w:top w:val="none" w:sz="0" w:space="0" w:color="auto"/>
                    <w:left w:val="none" w:sz="0" w:space="0" w:color="auto"/>
                    <w:bottom w:val="none" w:sz="0" w:space="0" w:color="auto"/>
                    <w:right w:val="none" w:sz="0" w:space="0" w:color="auto"/>
                  </w:divBdr>
                  <w:divsChild>
                    <w:div w:id="20117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94987">
      <w:bodyDiv w:val="1"/>
      <w:marLeft w:val="0"/>
      <w:marRight w:val="0"/>
      <w:marTop w:val="0"/>
      <w:marBottom w:val="0"/>
      <w:divBdr>
        <w:top w:val="none" w:sz="0" w:space="0" w:color="auto"/>
        <w:left w:val="none" w:sz="0" w:space="0" w:color="auto"/>
        <w:bottom w:val="none" w:sz="0" w:space="0" w:color="auto"/>
        <w:right w:val="none" w:sz="0" w:space="0" w:color="auto"/>
      </w:divBdr>
    </w:div>
    <w:div w:id="167372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xreg.sos.state.tx.us/public/readtac$ext.TacPage?sl=R&amp;app=9&amp;p_dir=&amp;p_rloc=&amp;p_tloc=&amp;p_ploc=&amp;pg=1&amp;p_tac=&amp;ti=26&amp;pt=1&amp;ch=301&amp;rl=259"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rformance.Contracts@hhs.texas.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exreg.sos.state.tx.us/public/readtac$ext.TacPage?sl=R&amp;app=9&amp;p_dir=&amp;p_rloc=&amp;p_tloc=&amp;p_ploc=&amp;pg=1&amp;p_tac=&amp;ti=26&amp;pt=1&amp;ch=301&amp;rl=25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hhs.texas.gov/providers/behavioral-health-services-providers/behavioral-health-provider-resources/contracting-a-local-mental-health-authority-or-local-behavioral-health-authorit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rformance.Contracts@hhs.texa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assidy477\Downloads\general-design-1%20(2).dotx" TargetMode="External"/></Relationships>
</file>

<file path=word/theme/theme1.xml><?xml version="1.0" encoding="utf-8"?>
<a:theme xmlns:a="http://schemas.openxmlformats.org/drawingml/2006/main" name="HHS Basic Theme 2.0">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965D5"/>
      </a:hlink>
      <a:folHlink>
        <a:srgbClr val="0965D5"/>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5365A3D728EB48A2F485AFCA5996DA" ma:contentTypeVersion="14" ma:contentTypeDescription="Create a new document." ma:contentTypeScope="" ma:versionID="f2696da0175a1339fca39d39f19a4c9b">
  <xsd:schema xmlns:xsd="http://www.w3.org/2001/XMLSchema" xmlns:xs="http://www.w3.org/2001/XMLSchema" xmlns:p="http://schemas.microsoft.com/office/2006/metadata/properties" xmlns:ns2="f9b5792c-1ecd-4bba-a341-00f520efd7ce" targetNamespace="http://schemas.microsoft.com/office/2006/metadata/properties" ma:root="true" ma:fieldsID="28d90c3a7c3dc2db17c50438fce346fe" ns2:_="">
    <xsd:import namespace="f9b5792c-1ecd-4bba-a341-00f520efd7ce"/>
    <xsd:element name="properties">
      <xsd:complexType>
        <xsd:sequence>
          <xsd:element name="documentManagement">
            <xsd:complexType>
              <xsd:all>
                <xsd:element ref="ns2:MessageID_x0023_" minOccurs="0"/>
                <xsd:element ref="ns2:MessageSubject" minOccurs="0"/>
                <xsd:element ref="ns2:DateSent" minOccurs="0"/>
                <xsd:element ref="ns2:MediaServiceMetadata" minOccurs="0"/>
                <xsd:element ref="ns2:MediaServiceFastMetadata" minOccurs="0"/>
                <xsd:element ref="ns2:Audienc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5792c-1ecd-4bba-a341-00f520efd7ce" elementFormDefault="qualified">
    <xsd:import namespace="http://schemas.microsoft.com/office/2006/documentManagement/types"/>
    <xsd:import namespace="http://schemas.microsoft.com/office/infopath/2007/PartnerControls"/>
    <xsd:element name="MessageID_x0023_" ma:index="4" nillable="true" ma:displayName="Message ID#" ma:internalName="MessageID_x0023_" ma:readOnly="false">
      <xsd:simpleType>
        <xsd:restriction base="dms:Text">
          <xsd:maxLength value="255"/>
        </xsd:restriction>
      </xsd:simpleType>
    </xsd:element>
    <xsd:element name="MessageSubject" ma:index="5" nillable="true" ma:displayName="Message Subject" ma:internalName="MessageSubject" ma:readOnly="false">
      <xsd:simpleType>
        <xsd:restriction base="dms:Text">
          <xsd:maxLength value="255"/>
        </xsd:restriction>
      </xsd:simpleType>
    </xsd:element>
    <xsd:element name="DateSent" ma:index="6" nillable="true" ma:displayName="Date Sent" ma:format="DateOnly" ma:internalName="DateSent" ma:readOnly="false">
      <xsd:simpleType>
        <xsd:restriction base="dms:DateTime"/>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Audience" ma:index="10"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All Contracted Providers"/>
                    <xsd:enumeration value="Certified Community Behavioral Health Clinic"/>
                    <xsd:enumeration value="Consumer-Operated Service Providers"/>
                    <xsd:enumeration value="Home and Community-Based Services - Adult Mental Health Providers"/>
                    <xsd:enumeration value="Home and Community-Based Services Recovery Management Entities"/>
                    <xsd:enumeration value="Institutions of Higher Education"/>
                    <xsd:enumeration value="Local Mental/Behavioral Health Authorities"/>
                    <xsd:enumeration value="Outreach Screening Assessment and Referral Programs"/>
                    <xsd:enumeration value="Prevention and Behavioral Health Promotion Providers"/>
                    <xsd:enumeration value="Residential Treatment Center Provicers"/>
                    <xsd:enumeration value="Substance Use Recovery Providers"/>
                    <xsd:enumeration value="Substance Use Treatment Providers"/>
                    <xsd:enumeration value="Texas Targeted Opioid Response Providers"/>
                    <xsd:enumeration value="Youth Empowerment Services Providers"/>
                  </xsd:restriction>
                </xsd:simpleType>
              </xsd:element>
            </xsd:sequence>
          </xsd:extension>
        </xsd:complexContent>
      </xsd:complex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dience xmlns="f9b5792c-1ecd-4bba-a341-00f520efd7ce" xsi:nil="true"/>
    <MessageSubject xmlns="f9b5792c-1ecd-4bba-a341-00f520efd7ce" xsi:nil="true"/>
    <DateSent xmlns="f9b5792c-1ecd-4bba-a341-00f520efd7ce" xsi:nil="true"/>
    <MessageID_x0023_ xmlns="f9b5792c-1ecd-4bba-a341-00f520efd7ce" xsi:nil="true"/>
  </documentManagement>
</p:properties>
</file>

<file path=customXml/itemProps1.xml><?xml version="1.0" encoding="utf-8"?>
<ds:datastoreItem xmlns:ds="http://schemas.openxmlformats.org/officeDocument/2006/customXml" ds:itemID="{7C61F723-A370-4FE6-8DD3-052DCA7C885D}">
  <ds:schemaRefs>
    <ds:schemaRef ds:uri="http://schemas.openxmlformats.org/officeDocument/2006/bibliography"/>
  </ds:schemaRefs>
</ds:datastoreItem>
</file>

<file path=customXml/itemProps2.xml><?xml version="1.0" encoding="utf-8"?>
<ds:datastoreItem xmlns:ds="http://schemas.openxmlformats.org/officeDocument/2006/customXml" ds:itemID="{B7A2A375-B486-4156-B1C9-F1C4E80F4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b5792c-1ecd-4bba-a341-00f520efd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8CAF6E-6F09-4FC5-B514-8D0B57C4029D}">
  <ds:schemaRefs>
    <ds:schemaRef ds:uri="http://schemas.microsoft.com/sharepoint/v3/contenttype/forms"/>
  </ds:schemaRefs>
</ds:datastoreItem>
</file>

<file path=customXml/itemProps4.xml><?xml version="1.0" encoding="utf-8"?>
<ds:datastoreItem xmlns:ds="http://schemas.openxmlformats.org/officeDocument/2006/customXml" ds:itemID="{39E2A209-4273-45C5-BB5E-E10F2CB71745}">
  <ds:schemaRefs>
    <ds:schemaRef ds:uri="http://schemas.microsoft.com/office/2006/metadata/properties"/>
    <ds:schemaRef ds:uri="http://schemas.microsoft.com/office/infopath/2007/PartnerControls"/>
    <ds:schemaRef ds:uri="f9b5792c-1ecd-4bba-a341-00f520efd7ce"/>
  </ds:schemaRefs>
</ds:datastoreItem>
</file>

<file path=docProps/app.xml><?xml version="1.0" encoding="utf-8"?>
<Properties xmlns="http://schemas.openxmlformats.org/officeDocument/2006/extended-properties" xmlns:vt="http://schemas.openxmlformats.org/officeDocument/2006/docPropsVTypes">
  <Template>general-design-1 (2).dotx</Template>
  <TotalTime>1544</TotalTime>
  <Pages>1</Pages>
  <Words>3456</Words>
  <Characters>19700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23110</CharactersWithSpaces>
  <SharedDoc>false</SharedDoc>
  <HLinks>
    <vt:vector size="30" baseType="variant">
      <vt:variant>
        <vt:i4>3145734</vt:i4>
      </vt:variant>
      <vt:variant>
        <vt:i4>9</vt:i4>
      </vt:variant>
      <vt:variant>
        <vt:i4>0</vt:i4>
      </vt:variant>
      <vt:variant>
        <vt:i4>5</vt:i4>
      </vt:variant>
      <vt:variant>
        <vt:lpwstr>https://texreg.sos.state.tx.us/public/readtac$ext.TacPage?sl=R&amp;app=9&amp;p_dir=&amp;p_rloc=&amp;p_tloc=&amp;p_ploc=&amp;pg=1&amp;p_tac=&amp;ti=26&amp;pt=1&amp;ch=301&amp;rl=259</vt:lpwstr>
      </vt:variant>
      <vt:variant>
        <vt:lpwstr/>
      </vt:variant>
      <vt:variant>
        <vt:i4>3538990</vt:i4>
      </vt:variant>
      <vt:variant>
        <vt:i4>6</vt:i4>
      </vt:variant>
      <vt:variant>
        <vt:i4>0</vt:i4>
      </vt:variant>
      <vt:variant>
        <vt:i4>5</vt:i4>
      </vt:variant>
      <vt:variant>
        <vt:lpwstr>https://www.hhs.texas.gov/providers/behavioral-health-services-providers/behavioral-health-provider-resources/contracting-a-local-mental-health-authority-or-local-behavioral-health-authority</vt:lpwstr>
      </vt:variant>
      <vt:variant>
        <vt:lpwstr/>
      </vt:variant>
      <vt:variant>
        <vt:i4>7536730</vt:i4>
      </vt:variant>
      <vt:variant>
        <vt:i4>3</vt:i4>
      </vt:variant>
      <vt:variant>
        <vt:i4>0</vt:i4>
      </vt:variant>
      <vt:variant>
        <vt:i4>5</vt:i4>
      </vt:variant>
      <vt:variant>
        <vt:lpwstr>mailto:Performance.Contracts@hhs.texas.gov</vt:lpwstr>
      </vt:variant>
      <vt:variant>
        <vt:lpwstr/>
      </vt:variant>
      <vt:variant>
        <vt:i4>7536730</vt:i4>
      </vt:variant>
      <vt:variant>
        <vt:i4>0</vt:i4>
      </vt:variant>
      <vt:variant>
        <vt:i4>0</vt:i4>
      </vt:variant>
      <vt:variant>
        <vt:i4>5</vt:i4>
      </vt:variant>
      <vt:variant>
        <vt:lpwstr>mailto:Performance.Contracts@hhs.texas.gov</vt:lpwstr>
      </vt:variant>
      <vt:variant>
        <vt:lpwstr/>
      </vt:variant>
      <vt:variant>
        <vt:i4>5767259</vt:i4>
      </vt:variant>
      <vt:variant>
        <vt:i4>0</vt:i4>
      </vt:variant>
      <vt:variant>
        <vt:i4>0</vt:i4>
      </vt:variant>
      <vt:variant>
        <vt:i4>5</vt:i4>
      </vt:variant>
      <vt:variant>
        <vt:lpwstr>https://capitol.texas.gov/tlodocs/87R/billtext/pdf/SB00001F.pdf</vt:lpwstr>
      </vt:variant>
      <vt:variant>
        <vt:lpwstr>navpanes=0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Cassidy,Angela (HHSC)</dc:creator>
  <cp:keywords/>
  <dc:description>Template updated 6/1/2023.</dc:description>
  <cp:lastModifiedBy>Martin, Andrew</cp:lastModifiedBy>
  <cp:revision>10</cp:revision>
  <dcterms:created xsi:type="dcterms:W3CDTF">2024-10-16T16:45:00Z</dcterms:created>
  <dcterms:modified xsi:type="dcterms:W3CDTF">2024-12-09T21:00:00Z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0x0101007B5365A3D728EB48A2F485AFCA5996DA</vt:lpwstr>
  </property>
</Properties>
</file>